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BD5AC" w14:textId="67036616" w:rsidR="0074405B" w:rsidRPr="008F4ADB" w:rsidRDefault="00165017" w:rsidP="0074405B">
      <w:pPr>
        <w:pStyle w:val="3GPPHeader"/>
        <w:spacing w:after="60"/>
        <w:rPr>
          <w:sz w:val="32"/>
          <w:szCs w:val="32"/>
        </w:rPr>
      </w:pPr>
      <w:r>
        <w:t xml:space="preserve">3GPP TSG-RAN </w:t>
      </w:r>
      <w:r w:rsidRPr="008F4ADB">
        <w:t>WG</w:t>
      </w:r>
      <w:r w:rsidR="00D6154E" w:rsidRPr="008F4ADB">
        <w:t>2</w:t>
      </w:r>
      <w:r w:rsidR="00060BD2" w:rsidRPr="008F4ADB">
        <w:t xml:space="preserve"> #</w:t>
      </w:r>
      <w:r w:rsidR="00D6154E" w:rsidRPr="008F4ADB">
        <w:t>100</w:t>
      </w:r>
      <w:r w:rsidR="0074405B" w:rsidRPr="008F4ADB">
        <w:tab/>
      </w:r>
      <w:r w:rsidR="00D70E73" w:rsidRPr="008F4ADB">
        <w:rPr>
          <w:sz w:val="32"/>
          <w:szCs w:val="32"/>
        </w:rPr>
        <w:t>R</w:t>
      </w:r>
      <w:r w:rsidR="008267DF" w:rsidRPr="008F4ADB">
        <w:rPr>
          <w:sz w:val="32"/>
          <w:szCs w:val="32"/>
        </w:rPr>
        <w:t>2</w:t>
      </w:r>
      <w:r w:rsidR="00D70E73" w:rsidRPr="008F4ADB">
        <w:rPr>
          <w:sz w:val="32"/>
          <w:szCs w:val="32"/>
        </w:rPr>
        <w:t>-</w:t>
      </w:r>
      <w:r w:rsidR="008F4ADB" w:rsidRPr="008F4ADB">
        <w:rPr>
          <w:sz w:val="32"/>
          <w:szCs w:val="32"/>
        </w:rPr>
        <w:t xml:space="preserve">1713628         </w:t>
      </w:r>
    </w:p>
    <w:p w14:paraId="3150E8E6" w14:textId="462E1E47" w:rsidR="0074405B" w:rsidRPr="008F4ADB" w:rsidRDefault="00D6154E" w:rsidP="0074405B">
      <w:pPr>
        <w:pStyle w:val="CRCoverPage"/>
        <w:outlineLvl w:val="0"/>
        <w:rPr>
          <w:b/>
          <w:noProof/>
          <w:sz w:val="24"/>
        </w:rPr>
      </w:pPr>
      <w:r w:rsidRPr="008F4ADB">
        <w:rPr>
          <w:b/>
          <w:noProof/>
          <w:sz w:val="24"/>
        </w:rPr>
        <w:t>Reno</w:t>
      </w:r>
      <w:r w:rsidR="0074405B" w:rsidRPr="008F4ADB">
        <w:rPr>
          <w:b/>
          <w:noProof/>
          <w:sz w:val="24"/>
        </w:rPr>
        <w:t xml:space="preserve">, </w:t>
      </w:r>
      <w:r w:rsidR="00060BD2" w:rsidRPr="008F4ADB">
        <w:rPr>
          <w:b/>
          <w:noProof/>
          <w:sz w:val="24"/>
        </w:rPr>
        <w:t>USA</w:t>
      </w:r>
      <w:r w:rsidR="0074405B" w:rsidRPr="008F4ADB">
        <w:rPr>
          <w:b/>
          <w:noProof/>
          <w:sz w:val="24"/>
        </w:rPr>
        <w:t xml:space="preserve">, </w:t>
      </w:r>
      <w:r w:rsidRPr="008F4ADB">
        <w:rPr>
          <w:b/>
          <w:noProof/>
          <w:sz w:val="24"/>
        </w:rPr>
        <w:t>Nov 27</w:t>
      </w:r>
      <w:r w:rsidR="0074405B" w:rsidRPr="008F4ADB">
        <w:rPr>
          <w:b/>
          <w:noProof/>
          <w:sz w:val="24"/>
          <w:vertAlign w:val="superscript"/>
        </w:rPr>
        <w:t>th</w:t>
      </w:r>
      <w:r w:rsidR="0074405B" w:rsidRPr="008F4ADB">
        <w:rPr>
          <w:b/>
          <w:noProof/>
          <w:sz w:val="24"/>
        </w:rPr>
        <w:t xml:space="preserve"> – </w:t>
      </w:r>
      <w:r w:rsidRPr="008F4ADB">
        <w:rPr>
          <w:b/>
          <w:noProof/>
          <w:sz w:val="24"/>
        </w:rPr>
        <w:t>Dec 1</w:t>
      </w:r>
      <w:r w:rsidRPr="008F4ADB">
        <w:rPr>
          <w:b/>
          <w:noProof/>
          <w:sz w:val="24"/>
          <w:vertAlign w:val="superscript"/>
        </w:rPr>
        <w:t>st</w:t>
      </w:r>
      <w:r w:rsidR="0074405B" w:rsidRPr="008F4ADB">
        <w:rPr>
          <w:b/>
          <w:noProof/>
          <w:sz w:val="24"/>
        </w:rPr>
        <w:t xml:space="preserve"> 2017</w:t>
      </w:r>
    </w:p>
    <w:p w14:paraId="080388FD" w14:textId="77777777" w:rsidR="00E90E49" w:rsidRPr="008F4ADB" w:rsidRDefault="00E90E49" w:rsidP="00357380">
      <w:pPr>
        <w:pStyle w:val="3GPPHeader"/>
      </w:pPr>
    </w:p>
    <w:p w14:paraId="0AAB05B0" w14:textId="56E47245" w:rsidR="00E90E49" w:rsidRPr="008F4ADB" w:rsidRDefault="00E90E49" w:rsidP="00311702">
      <w:pPr>
        <w:pStyle w:val="3GPPHeader"/>
        <w:rPr>
          <w:sz w:val="22"/>
          <w:szCs w:val="22"/>
          <w:lang w:val="sv-SE"/>
        </w:rPr>
      </w:pPr>
      <w:r w:rsidRPr="008F4ADB">
        <w:rPr>
          <w:sz w:val="22"/>
          <w:szCs w:val="22"/>
          <w:lang w:val="sv-SE"/>
        </w:rPr>
        <w:t>Agenda Item:</w:t>
      </w:r>
      <w:r w:rsidRPr="008F4ADB">
        <w:rPr>
          <w:sz w:val="22"/>
          <w:szCs w:val="22"/>
          <w:lang w:val="sv-SE"/>
        </w:rPr>
        <w:tab/>
      </w:r>
      <w:r w:rsidR="008F4ADB">
        <w:rPr>
          <w:sz w:val="22"/>
          <w:szCs w:val="22"/>
          <w:lang w:val="sv-SE"/>
        </w:rPr>
        <w:t>10.2.8</w:t>
      </w:r>
    </w:p>
    <w:p w14:paraId="5E05F81E" w14:textId="77777777" w:rsidR="00E90E49" w:rsidRPr="008F4ADB" w:rsidRDefault="003D3C45" w:rsidP="00F64C2B">
      <w:pPr>
        <w:pStyle w:val="3GPPHeader"/>
        <w:rPr>
          <w:sz w:val="22"/>
          <w:szCs w:val="22"/>
        </w:rPr>
      </w:pPr>
      <w:r w:rsidRPr="008F4ADB">
        <w:rPr>
          <w:sz w:val="22"/>
          <w:szCs w:val="22"/>
        </w:rPr>
        <w:t>Source:</w:t>
      </w:r>
      <w:r w:rsidR="00E90E49" w:rsidRPr="008F4ADB">
        <w:rPr>
          <w:sz w:val="22"/>
          <w:szCs w:val="22"/>
        </w:rPr>
        <w:tab/>
      </w:r>
      <w:r w:rsidR="00F64C2B" w:rsidRPr="008F4ADB">
        <w:rPr>
          <w:sz w:val="22"/>
          <w:szCs w:val="22"/>
        </w:rPr>
        <w:t>Ericsson</w:t>
      </w:r>
    </w:p>
    <w:p w14:paraId="260C862B" w14:textId="282FF196" w:rsidR="00E90E49" w:rsidRPr="008F4ADB" w:rsidRDefault="003D3C45" w:rsidP="00311702">
      <w:pPr>
        <w:pStyle w:val="3GPPHeader"/>
        <w:rPr>
          <w:sz w:val="22"/>
          <w:szCs w:val="22"/>
        </w:rPr>
      </w:pPr>
      <w:r w:rsidRPr="008F4ADB">
        <w:rPr>
          <w:sz w:val="22"/>
          <w:szCs w:val="22"/>
        </w:rPr>
        <w:t>Title:</w:t>
      </w:r>
      <w:r w:rsidR="00E90E49" w:rsidRPr="008F4ADB">
        <w:rPr>
          <w:sz w:val="22"/>
          <w:szCs w:val="22"/>
        </w:rPr>
        <w:tab/>
      </w:r>
      <w:r w:rsidR="00D6154E" w:rsidRPr="008F4ADB">
        <w:rPr>
          <w:sz w:val="22"/>
          <w:szCs w:val="22"/>
        </w:rPr>
        <w:t>Discussion on remaining SUL issue</w:t>
      </w:r>
      <w:r w:rsidR="008A2639" w:rsidRPr="008F4ADB">
        <w:rPr>
          <w:sz w:val="22"/>
          <w:szCs w:val="22"/>
        </w:rPr>
        <w:t>s</w:t>
      </w:r>
      <w:r w:rsidR="00392EC4" w:rsidRPr="008F4ADB">
        <w:rPr>
          <w:sz w:val="22"/>
          <w:szCs w:val="22"/>
        </w:rPr>
        <w:t xml:space="preserve"> for </w:t>
      </w:r>
      <w:r w:rsidR="00613A69" w:rsidRPr="008F4ADB">
        <w:rPr>
          <w:sz w:val="22"/>
          <w:szCs w:val="22"/>
        </w:rPr>
        <w:t>EN-DC</w:t>
      </w:r>
    </w:p>
    <w:p w14:paraId="4983EF58" w14:textId="77777777" w:rsidR="00E90E49" w:rsidRPr="008F4ADB" w:rsidRDefault="00E90E49" w:rsidP="00D546FF">
      <w:pPr>
        <w:pStyle w:val="3GPPHeader"/>
        <w:rPr>
          <w:sz w:val="22"/>
          <w:szCs w:val="22"/>
        </w:rPr>
      </w:pPr>
      <w:r w:rsidRPr="008F4ADB">
        <w:rPr>
          <w:sz w:val="22"/>
          <w:szCs w:val="22"/>
        </w:rPr>
        <w:t>Document for:</w:t>
      </w:r>
      <w:r w:rsidRPr="008F4ADB">
        <w:rPr>
          <w:sz w:val="22"/>
          <w:szCs w:val="22"/>
        </w:rPr>
        <w:tab/>
        <w:t>Discussion, Decision</w:t>
      </w:r>
    </w:p>
    <w:p w14:paraId="6581E6FF" w14:textId="77777777" w:rsidR="00E90E49" w:rsidRPr="008F4ADB" w:rsidRDefault="00E90E49" w:rsidP="00E90E49"/>
    <w:p w14:paraId="4387B148" w14:textId="77777777" w:rsidR="00E90E49" w:rsidRPr="008F4ADB" w:rsidRDefault="00E90E49" w:rsidP="00CE0424">
      <w:pPr>
        <w:pStyle w:val="Heading1"/>
      </w:pPr>
      <w:r w:rsidRPr="008F4ADB">
        <w:t>Introduction</w:t>
      </w:r>
    </w:p>
    <w:p w14:paraId="47A8FF88" w14:textId="77777777" w:rsidR="008267DF" w:rsidRPr="008F4ADB" w:rsidRDefault="008267DF" w:rsidP="00CE0424">
      <w:pPr>
        <w:pStyle w:val="BodyText"/>
      </w:pPr>
      <w:r w:rsidRPr="008F4ADB">
        <w:t>In last RAN2 meeting, there are some agreement related to SUL. See below</w:t>
      </w:r>
    </w:p>
    <w:p w14:paraId="395FDF38" w14:textId="77777777" w:rsidR="008267DF" w:rsidRPr="008F4ADB" w:rsidRDefault="008267DF" w:rsidP="008267DF">
      <w:pPr>
        <w:pStyle w:val="Doc-text2"/>
        <w:pBdr>
          <w:top w:val="single" w:sz="4" w:space="1" w:color="auto"/>
          <w:left w:val="single" w:sz="4" w:space="4" w:color="auto"/>
          <w:bottom w:val="single" w:sz="4" w:space="1" w:color="auto"/>
          <w:right w:val="single" w:sz="4" w:space="4" w:color="auto"/>
        </w:pBdr>
      </w:pPr>
      <w:r w:rsidRPr="008F4ADB">
        <w:t>Agreements for SUL operation in connected mode:</w:t>
      </w:r>
    </w:p>
    <w:p w14:paraId="2E0346E1" w14:textId="77777777" w:rsidR="008267DF" w:rsidRPr="008F4ADB" w:rsidRDefault="008267DF" w:rsidP="008267DF">
      <w:pPr>
        <w:pStyle w:val="Doc-text2"/>
        <w:pBdr>
          <w:top w:val="single" w:sz="4" w:space="1" w:color="auto"/>
          <w:left w:val="single" w:sz="4" w:space="4" w:color="auto"/>
          <w:bottom w:val="single" w:sz="4" w:space="1" w:color="auto"/>
          <w:right w:val="single" w:sz="4" w:space="4" w:color="auto"/>
        </w:pBdr>
      </w:pPr>
      <w:r w:rsidRPr="008F4ADB">
        <w:t>1</w:t>
      </w:r>
      <w:r w:rsidRPr="008F4ADB">
        <w:tab/>
        <w:t>When SUL is configured there are 2 ULs configured for one DL of the same cell. (FFS how much configuration is provided for the 2 ULs)</w:t>
      </w:r>
    </w:p>
    <w:p w14:paraId="4EC2EFEB" w14:textId="77777777" w:rsidR="008267DF" w:rsidRDefault="008267DF" w:rsidP="008267DF">
      <w:pPr>
        <w:pStyle w:val="Doc-text2"/>
        <w:pBdr>
          <w:top w:val="single" w:sz="4" w:space="1" w:color="auto"/>
          <w:left w:val="single" w:sz="4" w:space="4" w:color="auto"/>
          <w:bottom w:val="single" w:sz="4" w:space="1" w:color="auto"/>
          <w:right w:val="single" w:sz="4" w:space="4" w:color="auto"/>
        </w:pBdr>
      </w:pPr>
      <w:r w:rsidRPr="008F4ADB">
        <w:t>2</w:t>
      </w:r>
      <w:r w:rsidRPr="008F4ADB">
        <w:tab/>
        <w:t>At any point in time, each serving cell has at most one PUSCH for transmission</w:t>
      </w:r>
    </w:p>
    <w:p w14:paraId="277ADD78" w14:textId="77777777" w:rsidR="008267DF" w:rsidRDefault="008267DF" w:rsidP="008267DF">
      <w:pPr>
        <w:pStyle w:val="Doc-text2"/>
        <w:pBdr>
          <w:top w:val="single" w:sz="4" w:space="1" w:color="auto"/>
          <w:left w:val="single" w:sz="4" w:space="4" w:color="auto"/>
          <w:bottom w:val="single" w:sz="4" w:space="1" w:color="auto"/>
          <w:right w:val="single" w:sz="4" w:space="4" w:color="auto"/>
        </w:pBdr>
      </w:pPr>
    </w:p>
    <w:p w14:paraId="2F8F08EE" w14:textId="77777777" w:rsidR="008267DF" w:rsidRDefault="008267DF" w:rsidP="008267DF">
      <w:pPr>
        <w:pStyle w:val="Doc-text2"/>
        <w:pBdr>
          <w:top w:val="single" w:sz="4" w:space="1" w:color="auto"/>
          <w:left w:val="single" w:sz="4" w:space="4" w:color="auto"/>
          <w:bottom w:val="single" w:sz="4" w:space="1" w:color="auto"/>
          <w:right w:val="single" w:sz="4" w:space="4" w:color="auto"/>
        </w:pBdr>
      </w:pPr>
      <w:r>
        <w:t>Options for further discussion on RRC signalling to configure SUL</w:t>
      </w:r>
    </w:p>
    <w:p w14:paraId="1D565F1D" w14:textId="77777777" w:rsidR="008267DF" w:rsidRDefault="008267DF" w:rsidP="008267DF">
      <w:pPr>
        <w:pStyle w:val="Doc-text2"/>
        <w:pBdr>
          <w:top w:val="single" w:sz="4" w:space="1" w:color="auto"/>
          <w:left w:val="single" w:sz="4" w:space="4" w:color="auto"/>
          <w:bottom w:val="single" w:sz="4" w:space="1" w:color="auto"/>
          <w:right w:val="single" w:sz="4" w:space="4" w:color="auto"/>
        </w:pBdr>
      </w:pPr>
      <w:r>
        <w:t>1</w:t>
      </w:r>
      <w:r>
        <w:tab/>
        <w:t>RRC configured 2 ULs (one if a full UL configuration and 2nd is just SRS configuration). RRC reconfiguration to provide a full UL configuration for a different carrier is used to switch UL data between 2 different ULs.</w:t>
      </w:r>
    </w:p>
    <w:p w14:paraId="158BAE69" w14:textId="77777777" w:rsidR="008267DF" w:rsidRDefault="008267DF" w:rsidP="008267DF">
      <w:pPr>
        <w:pStyle w:val="Doc-text2"/>
        <w:pBdr>
          <w:top w:val="single" w:sz="4" w:space="1" w:color="auto"/>
          <w:left w:val="single" w:sz="4" w:space="4" w:color="auto"/>
          <w:bottom w:val="single" w:sz="4" w:space="1" w:color="auto"/>
          <w:right w:val="single" w:sz="4" w:space="4" w:color="auto"/>
        </w:pBdr>
      </w:pPr>
      <w:r>
        <w:t>2</w:t>
      </w:r>
      <w:r>
        <w:tab/>
        <w:t xml:space="preserve">RRC configures 2 UL. Signalling (e.g. DCI or MAC CE) is defined to enable UE to switch between the 2 different UL configurations, or 2 use both ULs </w:t>
      </w:r>
    </w:p>
    <w:p w14:paraId="2AAEA193" w14:textId="77777777" w:rsidR="00D3005B" w:rsidRDefault="008267DF" w:rsidP="00CE0424">
      <w:pPr>
        <w:pStyle w:val="BodyText"/>
      </w:pPr>
      <w:r>
        <w:t xml:space="preserve"> </w:t>
      </w:r>
    </w:p>
    <w:p w14:paraId="08795D6C" w14:textId="77777777" w:rsidR="008267DF" w:rsidRDefault="008267DF" w:rsidP="008267DF">
      <w:pPr>
        <w:pStyle w:val="Doc-text2"/>
        <w:pBdr>
          <w:top w:val="single" w:sz="4" w:space="1" w:color="auto"/>
          <w:left w:val="single" w:sz="4" w:space="4" w:color="auto"/>
          <w:bottom w:val="single" w:sz="4" w:space="1" w:color="auto"/>
          <w:right w:val="single" w:sz="4" w:space="4" w:color="auto"/>
        </w:pBdr>
      </w:pPr>
      <w:r>
        <w:t>Clarification of agreements</w:t>
      </w:r>
    </w:p>
    <w:p w14:paraId="3301A39E" w14:textId="77777777" w:rsidR="008267DF" w:rsidRDefault="008267DF" w:rsidP="008267DF">
      <w:pPr>
        <w:pStyle w:val="Doc-text2"/>
        <w:pBdr>
          <w:top w:val="single" w:sz="4" w:space="1" w:color="auto"/>
          <w:left w:val="single" w:sz="4" w:space="4" w:color="auto"/>
          <w:bottom w:val="single" w:sz="4" w:space="1" w:color="auto"/>
          <w:right w:val="single" w:sz="4" w:space="4" w:color="auto"/>
        </w:pBdr>
      </w:pPr>
      <w:r>
        <w:t>1</w:t>
      </w:r>
      <w:r>
        <w:tab/>
        <w:t>In any slot</w:t>
      </w:r>
      <w:r w:rsidRPr="00CD2152">
        <w:t xml:space="preserve">, one PUSCH </w:t>
      </w:r>
      <w:r>
        <w:t>is used for</w:t>
      </w:r>
      <w:r w:rsidRPr="00CD2152">
        <w:t xml:space="preserve"> transmission</w:t>
      </w:r>
      <w:r>
        <w:t xml:space="preserve"> for a single serving cell (i.e. associated to a single DL). This excludes simultaneous transmission on 2 PUSCH within a single slot but does not restrict switching between the two PUSCH based on L1 /MAC/RRC signalling options. </w:t>
      </w:r>
    </w:p>
    <w:p w14:paraId="60EEC4C1" w14:textId="77777777" w:rsidR="008267DF" w:rsidRDefault="008267DF" w:rsidP="008267DF">
      <w:pPr>
        <w:pStyle w:val="Doc-text2"/>
        <w:pBdr>
          <w:top w:val="single" w:sz="4" w:space="1" w:color="auto"/>
          <w:left w:val="single" w:sz="4" w:space="4" w:color="auto"/>
          <w:bottom w:val="single" w:sz="4" w:space="1" w:color="auto"/>
          <w:right w:val="single" w:sz="4" w:space="4" w:color="auto"/>
        </w:pBdr>
      </w:pPr>
      <w:r>
        <w:t>2</w:t>
      </w:r>
      <w:r>
        <w:tab/>
        <w:t>RAN2 consider that it is up to RAN1 to decide where PUCCH is transmitted</w:t>
      </w:r>
    </w:p>
    <w:p w14:paraId="42FF1095" w14:textId="77777777" w:rsidR="008267DF" w:rsidRDefault="008267DF" w:rsidP="008267DF">
      <w:pPr>
        <w:pStyle w:val="Doc-text2"/>
        <w:pBdr>
          <w:top w:val="single" w:sz="4" w:space="1" w:color="auto"/>
          <w:left w:val="single" w:sz="4" w:space="4" w:color="auto"/>
          <w:bottom w:val="single" w:sz="4" w:space="1" w:color="auto"/>
          <w:right w:val="single" w:sz="4" w:space="4" w:color="auto"/>
        </w:pBdr>
      </w:pPr>
      <w:r>
        <w:t>3</w:t>
      </w:r>
      <w:r>
        <w:tab/>
        <w:t>Option 2 is clarified to "</w:t>
      </w:r>
      <w:r w:rsidRPr="00197434">
        <w:t xml:space="preserve"> RRC configures 2 UL. Signalling (e.g. DCI</w:t>
      </w:r>
      <w:r>
        <w:t xml:space="preserve"> or MAC CE</w:t>
      </w:r>
      <w:r w:rsidRPr="00197434">
        <w:t>) is defined to enable UE to switch between the 2 different UL configurations</w:t>
      </w:r>
      <w:r>
        <w:t>, to use both ULs but not schedule them simultaneously based on agreement 1 above"</w:t>
      </w:r>
    </w:p>
    <w:p w14:paraId="4E2BF041" w14:textId="77777777" w:rsidR="008267DF" w:rsidRDefault="008267DF" w:rsidP="008267DF">
      <w:pPr>
        <w:pStyle w:val="Doc-text2"/>
        <w:pBdr>
          <w:top w:val="single" w:sz="4" w:space="1" w:color="auto"/>
          <w:left w:val="single" w:sz="4" w:space="4" w:color="auto"/>
          <w:bottom w:val="single" w:sz="4" w:space="1" w:color="auto"/>
          <w:right w:val="single" w:sz="4" w:space="4" w:color="auto"/>
        </w:pBdr>
      </w:pPr>
      <w:r>
        <w:t>4</w:t>
      </w:r>
      <w:r>
        <w:tab/>
        <w:t>Final decision to use MAC CE signalling would be a RAN2 decision.</w:t>
      </w:r>
    </w:p>
    <w:p w14:paraId="06ACDC70" w14:textId="77777777" w:rsidR="008267DF" w:rsidRDefault="008267DF" w:rsidP="008267DF">
      <w:pPr>
        <w:pStyle w:val="Doc-text2"/>
        <w:pBdr>
          <w:top w:val="single" w:sz="4" w:space="1" w:color="auto"/>
          <w:left w:val="single" w:sz="4" w:space="4" w:color="auto"/>
          <w:bottom w:val="single" w:sz="4" w:space="1" w:color="auto"/>
          <w:right w:val="single" w:sz="4" w:space="4" w:color="auto"/>
        </w:pBdr>
      </w:pPr>
      <w:r>
        <w:t>5</w:t>
      </w:r>
      <w:r w:rsidRPr="000563AE">
        <w:tab/>
        <w:t xml:space="preserve">Final decision to use </w:t>
      </w:r>
      <w:r>
        <w:t>L1</w:t>
      </w:r>
      <w:r w:rsidRPr="000563AE">
        <w:t xml:space="preserve"> signalling would be a RAN</w:t>
      </w:r>
      <w:r>
        <w:t>1</w:t>
      </w:r>
      <w:r w:rsidRPr="000563AE">
        <w:t xml:space="preserve"> decision.</w:t>
      </w:r>
    </w:p>
    <w:p w14:paraId="30915A9A" w14:textId="77777777" w:rsidR="008267DF" w:rsidRDefault="008267DF" w:rsidP="008267DF">
      <w:pPr>
        <w:pStyle w:val="Doc-text2"/>
        <w:pBdr>
          <w:top w:val="single" w:sz="4" w:space="1" w:color="auto"/>
          <w:left w:val="single" w:sz="4" w:space="4" w:color="auto"/>
          <w:bottom w:val="single" w:sz="4" w:space="1" w:color="auto"/>
          <w:right w:val="single" w:sz="4" w:space="4" w:color="auto"/>
        </w:pBdr>
      </w:pPr>
      <w:r>
        <w:t xml:space="preserve">6 </w:t>
      </w:r>
      <w:r>
        <w:tab/>
        <w:t>There is no RAN2 motivation to adopt DCI signalling.</w:t>
      </w:r>
    </w:p>
    <w:p w14:paraId="534D9C56" w14:textId="77777777" w:rsidR="008267DF" w:rsidRDefault="008267DF" w:rsidP="00CE0424">
      <w:pPr>
        <w:pStyle w:val="BodyText"/>
      </w:pPr>
    </w:p>
    <w:p w14:paraId="637379A3" w14:textId="0DF8197E" w:rsidR="008267DF" w:rsidRPr="00CE0424" w:rsidRDefault="008267DF" w:rsidP="00CE0424">
      <w:pPr>
        <w:pStyle w:val="BodyText"/>
      </w:pPr>
      <w:r>
        <w:t xml:space="preserve">That is, </w:t>
      </w:r>
      <w:r w:rsidR="002E50AE">
        <w:t xml:space="preserve">for a RRC_CONNECTED UE, </w:t>
      </w:r>
      <w:r>
        <w:t xml:space="preserve">SUL is not a UL heavy CA, instead two UL carriers belong to same cell. The below we will discuss how to support this modelling using NR RRC and the </w:t>
      </w:r>
      <w:r w:rsidR="002E50AE">
        <w:t xml:space="preserve">open </w:t>
      </w:r>
      <w:r>
        <w:t>issues with this modelling</w:t>
      </w:r>
      <w:r w:rsidR="002E50AE">
        <w:t xml:space="preserve"> that need be resolved</w:t>
      </w:r>
      <w:r>
        <w:t>.</w:t>
      </w:r>
    </w:p>
    <w:p w14:paraId="600E5FB8" w14:textId="77777777" w:rsidR="001643A8" w:rsidRDefault="004000E8" w:rsidP="00CE0424">
      <w:pPr>
        <w:pStyle w:val="Heading1"/>
      </w:pPr>
      <w:bookmarkStart w:id="0" w:name="_Ref178064866"/>
      <w:r w:rsidRPr="00CE0424">
        <w:t>Discussion</w:t>
      </w:r>
      <w:bookmarkEnd w:id="0"/>
    </w:p>
    <w:p w14:paraId="227AF933" w14:textId="00449C8E" w:rsidR="008267DF" w:rsidRDefault="008267DF" w:rsidP="00DD2AE2">
      <w:bookmarkStart w:id="1" w:name="_Toc472092067"/>
      <w:bookmarkStart w:id="2" w:name="_Toc477793227"/>
      <w:bookmarkStart w:id="3" w:name="_Toc477794298"/>
      <w:bookmarkStart w:id="4" w:name="_Toc477794306"/>
      <w:bookmarkStart w:id="5" w:name="_Toc477794314"/>
      <w:bookmarkEnd w:id="1"/>
      <w:bookmarkEnd w:id="2"/>
      <w:bookmarkEnd w:id="3"/>
      <w:bookmarkEnd w:id="4"/>
      <w:bookmarkEnd w:id="5"/>
      <w:r>
        <w:t>In order to support SUL according to RAN2 agreement, current NR RRC signalling need be updated. Now in NR RRC</w:t>
      </w:r>
      <w:r w:rsidR="00937524">
        <w:t>R</w:t>
      </w:r>
      <w:r>
        <w:t>econfiguration</w:t>
      </w:r>
      <w:r w:rsidR="002E50AE">
        <w:t xml:space="preserve"> message</w:t>
      </w:r>
      <w:r>
        <w:t xml:space="preserve">, ServingCellConfigCommon is used to configure the DL and UL carrier </w:t>
      </w:r>
      <w:r w:rsidR="00741EC5">
        <w:t xml:space="preserve">frequency </w:t>
      </w:r>
      <w:r>
        <w:t xml:space="preserve">and </w:t>
      </w:r>
      <w:r w:rsidR="00741EC5">
        <w:t>common</w:t>
      </w:r>
      <w:r>
        <w:t xml:space="preserve"> radio resource on them</w:t>
      </w:r>
      <w:r w:rsidR="002E50AE">
        <w:t xml:space="preserve"> for each serving cell</w:t>
      </w:r>
      <w:r w:rsidR="00741EC5">
        <w:t xml:space="preserve"> and ServingCellConfigDedicated is used to configure the </w:t>
      </w:r>
      <w:r w:rsidR="00FC6769">
        <w:t>dedicated radio resource on each serving cell</w:t>
      </w:r>
      <w:r>
        <w:t>. Only one DL and one UL carrier is configured</w:t>
      </w:r>
      <w:r w:rsidR="002E50AE">
        <w:t xml:space="preserve"> per serving cell</w:t>
      </w:r>
      <w:r>
        <w:t>. Therefore, ServingCellConfigCommon</w:t>
      </w:r>
      <w:r w:rsidR="00FC6769">
        <w:t xml:space="preserve"> and ServingCellConfigDedicated</w:t>
      </w:r>
      <w:r>
        <w:t xml:space="preserve"> need be updated to have the capability to configure more than one UL carrier.</w:t>
      </w:r>
    </w:p>
    <w:p w14:paraId="123B9B9D" w14:textId="2A48F573" w:rsidR="00A01D94" w:rsidRDefault="00A01D94" w:rsidP="00DD2AE2">
      <w:r>
        <w:lastRenderedPageBreak/>
        <w:t>Then what kind of information need be configured for the two UL carriers need be specified. According to RAN1 agreement as below.</w:t>
      </w:r>
    </w:p>
    <w:p w14:paraId="1739DBC4" w14:textId="77777777" w:rsidR="00A01D94" w:rsidRPr="00A01D94" w:rsidRDefault="00A01D94" w:rsidP="00A01D94">
      <w:pPr>
        <w:pStyle w:val="Doc-text2"/>
        <w:pBdr>
          <w:top w:val="single" w:sz="4" w:space="1" w:color="auto"/>
          <w:left w:val="single" w:sz="4" w:space="4" w:color="auto"/>
          <w:bottom w:val="single" w:sz="4" w:space="1" w:color="auto"/>
          <w:right w:val="single" w:sz="4" w:space="4" w:color="auto"/>
        </w:pBdr>
      </w:pPr>
      <w:r w:rsidRPr="00A01D94">
        <w:t xml:space="preserve">Agreement: </w:t>
      </w:r>
    </w:p>
    <w:p w14:paraId="21B0BB75" w14:textId="4585FB65" w:rsidR="00A01D94" w:rsidRPr="00A01D94" w:rsidRDefault="00A01D94" w:rsidP="00A01D94">
      <w:pPr>
        <w:pStyle w:val="Doc-text2"/>
        <w:numPr>
          <w:ilvl w:val="0"/>
          <w:numId w:val="20"/>
        </w:numPr>
        <w:pBdr>
          <w:top w:val="single" w:sz="4" w:space="1" w:color="auto"/>
          <w:left w:val="single" w:sz="4" w:space="4" w:color="auto"/>
          <w:bottom w:val="single" w:sz="4" w:space="1" w:color="auto"/>
          <w:right w:val="single" w:sz="4" w:space="4" w:color="auto"/>
        </w:pBdr>
      </w:pPr>
      <w:r w:rsidRPr="00A01D94">
        <w:t>UE specific RRC signalling (re-)configures the location of the PUCCH, either on the SUL carrier or on a non-SUL UL carrier in a SUL band combination</w:t>
      </w:r>
    </w:p>
    <w:p w14:paraId="14143566" w14:textId="3D32EDD9" w:rsidR="00A01D94" w:rsidRPr="00A01D94" w:rsidRDefault="00A01D94" w:rsidP="00A01D94">
      <w:pPr>
        <w:pStyle w:val="Doc-text2"/>
        <w:pBdr>
          <w:top w:val="single" w:sz="4" w:space="1" w:color="auto"/>
          <w:left w:val="single" w:sz="4" w:space="4" w:color="auto"/>
          <w:bottom w:val="single" w:sz="4" w:space="1" w:color="auto"/>
          <w:right w:val="single" w:sz="4" w:space="4" w:color="auto"/>
        </w:pBdr>
      </w:pPr>
      <w:r>
        <w:t xml:space="preserve">   </w:t>
      </w:r>
      <w:r w:rsidRPr="00A01D94">
        <w:t xml:space="preserve">The default location of the PUSCH is the same carrier as used by PUCCH </w:t>
      </w:r>
    </w:p>
    <w:p w14:paraId="66513EE1" w14:textId="7F89D877" w:rsidR="00A01D94" w:rsidRPr="00A01D94" w:rsidRDefault="00A01D94" w:rsidP="00A01D94">
      <w:pPr>
        <w:pStyle w:val="Doc-text2"/>
        <w:numPr>
          <w:ilvl w:val="0"/>
          <w:numId w:val="20"/>
        </w:numPr>
        <w:pBdr>
          <w:top w:val="single" w:sz="4" w:space="1" w:color="auto"/>
          <w:left w:val="single" w:sz="4" w:space="4" w:color="auto"/>
          <w:bottom w:val="single" w:sz="4" w:space="1" w:color="auto"/>
          <w:right w:val="single" w:sz="4" w:space="4" w:color="auto"/>
        </w:pBdr>
      </w:pPr>
      <w:r w:rsidRPr="00A01D94">
        <w:t xml:space="preserve">UE specific RRC signalling may (de-)configure that PUSCH may be dynamically scheduled on the other (i.e. non-PUCCH) carrier in the same cell as the SUL </w:t>
      </w:r>
    </w:p>
    <w:p w14:paraId="55E619C0" w14:textId="2094B15D" w:rsidR="00A01D94" w:rsidRPr="00A01D94" w:rsidRDefault="00A01D94" w:rsidP="00A01D94">
      <w:pPr>
        <w:pStyle w:val="Doc-text2"/>
        <w:pBdr>
          <w:top w:val="single" w:sz="4" w:space="1" w:color="auto"/>
          <w:left w:val="single" w:sz="4" w:space="4" w:color="auto"/>
          <w:bottom w:val="single" w:sz="4" w:space="1" w:color="auto"/>
          <w:right w:val="single" w:sz="4" w:space="4" w:color="auto"/>
        </w:pBdr>
      </w:pPr>
      <w:r>
        <w:t xml:space="preserve">    </w:t>
      </w:r>
      <w:r w:rsidRPr="00A01D94">
        <w:t xml:space="preserve">In this case, a carrier indicator field in the UL grant is used to indicate dynamically whether the PUSCH is transmitted on the PUCCH carrier or on the other carrier </w:t>
      </w:r>
    </w:p>
    <w:p w14:paraId="7776B6AF" w14:textId="29B4868E" w:rsidR="00A01D94" w:rsidRPr="00A01D94" w:rsidRDefault="00A01D94" w:rsidP="00A01D94">
      <w:pPr>
        <w:pStyle w:val="Doc-text2"/>
        <w:pBdr>
          <w:top w:val="single" w:sz="4" w:space="1" w:color="auto"/>
          <w:left w:val="single" w:sz="4" w:space="4" w:color="auto"/>
          <w:bottom w:val="single" w:sz="4" w:space="1" w:color="auto"/>
          <w:right w:val="single" w:sz="4" w:space="4" w:color="auto"/>
        </w:pBdr>
      </w:pPr>
      <w:r>
        <w:t xml:space="preserve">    </w:t>
      </w:r>
      <w:r w:rsidRPr="00A01D94">
        <w:t>Note: Simultaneous PUSCH transmission on the SUL carrier and non-SUL UL carrier is not supported according to existing RAN2 agreement</w:t>
      </w:r>
    </w:p>
    <w:p w14:paraId="204B52E9" w14:textId="6214B153" w:rsidR="00A01D94" w:rsidRPr="00A01D94" w:rsidRDefault="00A01D94" w:rsidP="00A01D94">
      <w:pPr>
        <w:pStyle w:val="Doc-text2"/>
        <w:pBdr>
          <w:top w:val="single" w:sz="4" w:space="1" w:color="auto"/>
          <w:left w:val="single" w:sz="4" w:space="4" w:color="auto"/>
          <w:bottom w:val="single" w:sz="4" w:space="1" w:color="auto"/>
          <w:right w:val="single" w:sz="4" w:space="4" w:color="auto"/>
        </w:pBdr>
      </w:pPr>
      <w:r>
        <w:t xml:space="preserve">    </w:t>
      </w:r>
      <w:r w:rsidRPr="00A01D94">
        <w:t xml:space="preserve">FFS in DCI discussion whether the SUL CIF is always present </w:t>
      </w:r>
    </w:p>
    <w:p w14:paraId="04B86786" w14:textId="4C371EC8" w:rsidR="00A01D94" w:rsidRPr="00A01D94" w:rsidRDefault="00A01D94" w:rsidP="00A01D94">
      <w:pPr>
        <w:pStyle w:val="Doc-text2"/>
        <w:pBdr>
          <w:top w:val="single" w:sz="4" w:space="1" w:color="auto"/>
          <w:left w:val="single" w:sz="4" w:space="4" w:color="auto"/>
          <w:bottom w:val="single" w:sz="4" w:space="1" w:color="auto"/>
          <w:right w:val="single" w:sz="4" w:space="4" w:color="auto"/>
        </w:pBdr>
      </w:pPr>
      <w:r>
        <w:t xml:space="preserve">    </w:t>
      </w:r>
      <w:r w:rsidRPr="00A01D94">
        <w:t>There is one active BWP on the SUL carrier and one active BWP on the non-SUL UL carrier</w:t>
      </w:r>
    </w:p>
    <w:p w14:paraId="31683FF8" w14:textId="683502D5" w:rsidR="00A01D94" w:rsidRPr="00A01D94" w:rsidRDefault="00A01D94" w:rsidP="00A01D94">
      <w:pPr>
        <w:pStyle w:val="Doc-text2"/>
        <w:numPr>
          <w:ilvl w:val="0"/>
          <w:numId w:val="20"/>
        </w:numPr>
        <w:pBdr>
          <w:top w:val="single" w:sz="4" w:space="1" w:color="auto"/>
          <w:left w:val="single" w:sz="4" w:space="4" w:color="auto"/>
          <w:bottom w:val="single" w:sz="4" w:space="1" w:color="auto"/>
          <w:right w:val="single" w:sz="4" w:space="4" w:color="auto"/>
        </w:pBdr>
      </w:pPr>
      <w:r w:rsidRPr="00A01D94">
        <w:t>SRS related RRC parameters are independently configured for SRS on the SUL carrier and SRS on the non-SUL UL carrier in the SUL band combination</w:t>
      </w:r>
    </w:p>
    <w:p w14:paraId="076AE118" w14:textId="4CB67F58" w:rsidR="00A01D94" w:rsidRPr="00A01D94" w:rsidRDefault="00A01D94" w:rsidP="00A01D94">
      <w:pPr>
        <w:pStyle w:val="Doc-text2"/>
        <w:pBdr>
          <w:top w:val="single" w:sz="4" w:space="1" w:color="auto"/>
          <w:left w:val="single" w:sz="4" w:space="4" w:color="auto"/>
          <w:bottom w:val="single" w:sz="4" w:space="1" w:color="auto"/>
          <w:right w:val="single" w:sz="4" w:space="4" w:color="auto"/>
        </w:pBdr>
      </w:pPr>
      <w:r>
        <w:t xml:space="preserve">    </w:t>
      </w:r>
      <w:r w:rsidRPr="00A01D94">
        <w:t>SRS can be configured on the SUL carrier and non-SUL UL carrier, irrespective of the carrier configuration for PUSCH and PUCCH</w:t>
      </w:r>
    </w:p>
    <w:p w14:paraId="23945B7F" w14:textId="375B2F89" w:rsidR="006C3BFF" w:rsidRDefault="006C3BFF" w:rsidP="00DD2AE2">
      <w:pPr>
        <w:rPr>
          <w:lang w:val="en-US"/>
        </w:rPr>
      </w:pPr>
      <w:r>
        <w:rPr>
          <w:lang w:val="en-US"/>
        </w:rPr>
        <w:t>PUSCH and SRS can be configured on both SUL and non-SUL UL carrier while PUCCH is only configured on either SUL or non-SUL UL carrier. Therefore, we propose</w:t>
      </w:r>
    </w:p>
    <w:p w14:paraId="64396C85" w14:textId="19A6CBC6" w:rsidR="006C3BFF" w:rsidRDefault="00D91EDB" w:rsidP="006C3BFF">
      <w:pPr>
        <w:pStyle w:val="Proposal"/>
      </w:pPr>
      <w:bookmarkStart w:id="6" w:name="_Toc497398402"/>
      <w:bookmarkStart w:id="7" w:name="_Toc498433954"/>
      <w:bookmarkStart w:id="8" w:name="_Toc499047668"/>
      <w:bookmarkStart w:id="9" w:name="_Toc499048143"/>
      <w:bookmarkStart w:id="10" w:name="_Toc499196000"/>
      <w:r>
        <w:t xml:space="preserve">At least </w:t>
      </w:r>
      <w:r w:rsidR="006C3BFF">
        <w:t>ServingCellConfigCommon need be extended to configure both normal UL carrier</w:t>
      </w:r>
      <w:bookmarkEnd w:id="6"/>
      <w:r w:rsidR="006C3BFF">
        <w:t xml:space="preserve"> and SUL carrier with PUCCH configured on one UL carrier only.</w:t>
      </w:r>
      <w:bookmarkEnd w:id="7"/>
      <w:bookmarkEnd w:id="8"/>
      <w:bookmarkEnd w:id="9"/>
      <w:bookmarkEnd w:id="10"/>
    </w:p>
    <w:p w14:paraId="17C245A2" w14:textId="0C1D8A15" w:rsidR="00C062C6" w:rsidRDefault="004422FA" w:rsidP="00DD2AE2">
      <w:pPr>
        <w:rPr>
          <w:lang w:val="en-US"/>
        </w:rPr>
      </w:pPr>
      <w:r>
        <w:rPr>
          <w:lang w:val="en-US"/>
        </w:rPr>
        <w:t xml:space="preserve">Once UE is configured with two UL carriers, </w:t>
      </w:r>
      <w:r w:rsidR="006B264D">
        <w:rPr>
          <w:lang w:val="en-US"/>
        </w:rPr>
        <w:t xml:space="preserve">UE </w:t>
      </w:r>
      <w:r w:rsidR="00263145">
        <w:rPr>
          <w:lang w:val="en-US"/>
        </w:rPr>
        <w:t xml:space="preserve">needs to know which UL carrier is used for random access procedure. In idle mode, this is determined by UE itself according to the measured RSRP on DL carrier. </w:t>
      </w:r>
      <w:r w:rsidR="000334B1">
        <w:rPr>
          <w:lang w:val="en-US"/>
        </w:rPr>
        <w:t>For</w:t>
      </w:r>
      <w:r w:rsidR="00263145">
        <w:rPr>
          <w:lang w:val="en-US"/>
        </w:rPr>
        <w:t xml:space="preserve"> a RRC_Connected UE, it </w:t>
      </w:r>
      <w:r w:rsidR="000334B1">
        <w:rPr>
          <w:lang w:val="en-US"/>
        </w:rPr>
        <w:t xml:space="preserve">depends on whether SUL and non-SUL carrier are </w:t>
      </w:r>
      <w:r w:rsidR="00C062C6">
        <w:rPr>
          <w:lang w:val="en-US"/>
        </w:rPr>
        <w:t>tim</w:t>
      </w:r>
      <w:r w:rsidR="000334B1">
        <w:rPr>
          <w:lang w:val="en-US"/>
        </w:rPr>
        <w:t>e</w:t>
      </w:r>
      <w:r w:rsidR="00C062C6">
        <w:rPr>
          <w:lang w:val="en-US"/>
        </w:rPr>
        <w:t xml:space="preserve"> align</w:t>
      </w:r>
      <w:r w:rsidR="000334B1">
        <w:rPr>
          <w:lang w:val="en-US"/>
        </w:rPr>
        <w:t>ed or not.</w:t>
      </w:r>
      <w:r w:rsidR="00C062C6">
        <w:rPr>
          <w:lang w:val="en-US"/>
        </w:rPr>
        <w:t xml:space="preserve"> In our view, the deployment scenario for SUL is to reuse the existing LTE site for NR deployed at 3.5 Ghz</w:t>
      </w:r>
      <w:r w:rsidR="002F5A16">
        <w:rPr>
          <w:lang w:val="en-US"/>
        </w:rPr>
        <w:t>.</w:t>
      </w:r>
      <w:r w:rsidR="00C062C6" w:rsidRPr="00C062C6">
        <w:rPr>
          <w:lang w:val="en-US"/>
        </w:rPr>
        <w:t xml:space="preserve"> </w:t>
      </w:r>
      <w:r w:rsidR="002F5A16">
        <w:rPr>
          <w:lang w:val="en-US"/>
        </w:rPr>
        <w:t>T</w:t>
      </w:r>
      <w:r w:rsidR="00C062C6" w:rsidRPr="00C062C6">
        <w:rPr>
          <w:lang w:val="en-US"/>
        </w:rPr>
        <w:t>he 3.5</w:t>
      </w:r>
      <w:r w:rsidR="002F5A16">
        <w:rPr>
          <w:lang w:val="en-US"/>
        </w:rPr>
        <w:t xml:space="preserve"> Ghz</w:t>
      </w:r>
      <w:r w:rsidR="00C062C6" w:rsidRPr="00C062C6">
        <w:rPr>
          <w:lang w:val="en-US"/>
        </w:rPr>
        <w:t xml:space="preserve"> DL would have decent coverage and improve system capacity</w:t>
      </w:r>
      <w:r w:rsidR="002F5A16">
        <w:rPr>
          <w:lang w:val="en-US"/>
        </w:rPr>
        <w:t xml:space="preserve"> a</w:t>
      </w:r>
      <w:r w:rsidR="00C062C6" w:rsidRPr="00C062C6">
        <w:rPr>
          <w:lang w:val="en-US"/>
        </w:rPr>
        <w:t xml:space="preserve">nd the not-so-good 3.5 UL would be </w:t>
      </w:r>
      <w:r w:rsidR="002F5A16">
        <w:rPr>
          <w:lang w:val="en-US"/>
        </w:rPr>
        <w:t>complemented</w:t>
      </w:r>
      <w:r w:rsidR="00C062C6" w:rsidRPr="00C062C6">
        <w:rPr>
          <w:lang w:val="en-US"/>
        </w:rPr>
        <w:t xml:space="preserve"> by a </w:t>
      </w:r>
      <w:r w:rsidR="0005105C">
        <w:rPr>
          <w:lang w:val="en-US"/>
        </w:rPr>
        <w:t>S</w:t>
      </w:r>
      <w:r w:rsidR="00C062C6" w:rsidRPr="00C062C6">
        <w:rPr>
          <w:lang w:val="en-US"/>
        </w:rPr>
        <w:t>UL</w:t>
      </w:r>
      <w:r w:rsidR="0005105C">
        <w:rPr>
          <w:lang w:val="en-US"/>
        </w:rPr>
        <w:t xml:space="preserve"> carrier</w:t>
      </w:r>
      <w:r w:rsidR="00C062C6" w:rsidRPr="00C062C6">
        <w:rPr>
          <w:lang w:val="en-US"/>
        </w:rPr>
        <w:t>.</w:t>
      </w:r>
      <w:r w:rsidR="0005105C">
        <w:rPr>
          <w:lang w:val="en-US"/>
        </w:rPr>
        <w:t xml:space="preserve"> This means SUL carrier and non-SUL carrier are collocated at the same existing LTE site. Then it is reasonable to assume TA of SUL carrier and non-SUL carrier are the same</w:t>
      </w:r>
      <w:r w:rsidR="00D30571">
        <w:rPr>
          <w:lang w:val="en-US"/>
        </w:rPr>
        <w:t>.</w:t>
      </w:r>
      <w:r w:rsidR="00557604">
        <w:rPr>
          <w:lang w:val="en-US"/>
        </w:rPr>
        <w:t xml:space="preserve"> </w:t>
      </w:r>
      <w:r w:rsidR="000334B1">
        <w:rPr>
          <w:lang w:val="en-US"/>
        </w:rPr>
        <w:t>Then</w:t>
      </w:r>
      <w:r w:rsidR="00F07202">
        <w:rPr>
          <w:lang w:val="en-US"/>
        </w:rPr>
        <w:t xml:space="preserve"> it does not matter which UL carrier is used for random access procedure as once UE is UL time aligned with one UL carrier, it is also time aligned with the other UL carrier. </w:t>
      </w:r>
      <w:r w:rsidR="009B4E1F">
        <w:rPr>
          <w:lang w:val="en-US"/>
        </w:rPr>
        <w:t xml:space="preserve">Since PUCCH can only be configured on one UL carrier, network can </w:t>
      </w:r>
      <w:r w:rsidR="00DD6253">
        <w:rPr>
          <w:lang w:val="en-US"/>
        </w:rPr>
        <w:t>just</w:t>
      </w:r>
      <w:r w:rsidR="009B4E1F">
        <w:rPr>
          <w:lang w:val="en-US"/>
        </w:rPr>
        <w:t xml:space="preserve"> configure random access resource on the UL carrier where PUCCH is configured.</w:t>
      </w:r>
      <w:r w:rsidR="001762AE">
        <w:rPr>
          <w:lang w:val="en-US"/>
        </w:rPr>
        <w:t xml:space="preserve">   </w:t>
      </w:r>
      <w:r w:rsidR="00557604">
        <w:rPr>
          <w:lang w:val="en-US"/>
        </w:rPr>
        <w:t xml:space="preserve"> </w:t>
      </w:r>
    </w:p>
    <w:p w14:paraId="209C623E" w14:textId="2E8FD7B2" w:rsidR="00A01D94" w:rsidRDefault="00F07202" w:rsidP="002F5A16">
      <w:pPr>
        <w:pStyle w:val="Observation"/>
        <w:rPr>
          <w:lang w:val="en-US"/>
        </w:rPr>
      </w:pPr>
      <w:bookmarkStart w:id="11" w:name="_Toc498433950"/>
      <w:bookmarkStart w:id="12" w:name="_Toc499047665"/>
      <w:r>
        <w:rPr>
          <w:lang w:val="en-US"/>
        </w:rPr>
        <w:t>S</w:t>
      </w:r>
      <w:r w:rsidR="00FE3C7D">
        <w:rPr>
          <w:lang w:val="en-US"/>
        </w:rPr>
        <w:t xml:space="preserve">ame TA can be </w:t>
      </w:r>
      <w:r>
        <w:rPr>
          <w:lang w:val="en-US"/>
        </w:rPr>
        <w:t xml:space="preserve">assumed </w:t>
      </w:r>
      <w:r w:rsidR="002F5A16">
        <w:rPr>
          <w:lang w:val="en-US"/>
        </w:rPr>
        <w:t xml:space="preserve">for SUL </w:t>
      </w:r>
      <w:r>
        <w:rPr>
          <w:lang w:val="en-US"/>
        </w:rPr>
        <w:t>deployment scenario.</w:t>
      </w:r>
      <w:bookmarkEnd w:id="11"/>
      <w:bookmarkEnd w:id="12"/>
      <w:r w:rsidR="00FE3C7D">
        <w:rPr>
          <w:lang w:val="en-US"/>
        </w:rPr>
        <w:t xml:space="preserve">  </w:t>
      </w:r>
      <w:r w:rsidR="006C3BFF">
        <w:rPr>
          <w:lang w:val="en-US"/>
        </w:rPr>
        <w:t xml:space="preserve"> </w:t>
      </w:r>
    </w:p>
    <w:p w14:paraId="2DE44A03" w14:textId="14849D65" w:rsidR="00F07202" w:rsidRPr="00F07202" w:rsidRDefault="00F07202" w:rsidP="000334B1">
      <w:pPr>
        <w:pStyle w:val="Proposal"/>
        <w:rPr>
          <w:lang w:eastAsia="en-US"/>
        </w:rPr>
      </w:pPr>
      <w:bookmarkStart w:id="13" w:name="_Toc499047669"/>
      <w:bookmarkStart w:id="14" w:name="_Toc499048144"/>
      <w:bookmarkStart w:id="15" w:name="_Toc499196001"/>
      <w:r>
        <w:rPr>
          <w:lang w:val="en-US"/>
        </w:rPr>
        <w:t xml:space="preserve">For RRC_Connected UE, </w:t>
      </w:r>
      <w:r w:rsidR="009B4E1F">
        <w:rPr>
          <w:lang w:val="en-US"/>
        </w:rPr>
        <w:t xml:space="preserve">UE initiate random access on the </w:t>
      </w:r>
      <w:r>
        <w:rPr>
          <w:lang w:val="en-US"/>
        </w:rPr>
        <w:t>UL carrier</w:t>
      </w:r>
      <w:r w:rsidR="009B4E1F">
        <w:rPr>
          <w:lang w:val="en-US"/>
        </w:rPr>
        <w:t xml:space="preserve"> which is configured with PUCCH</w:t>
      </w:r>
      <w:r>
        <w:rPr>
          <w:lang w:val="en-US"/>
        </w:rPr>
        <w:t>.</w:t>
      </w:r>
      <w:bookmarkEnd w:id="13"/>
      <w:bookmarkEnd w:id="14"/>
      <w:bookmarkEnd w:id="15"/>
    </w:p>
    <w:p w14:paraId="69A868DC" w14:textId="5E1AE1DA" w:rsidR="00F07202" w:rsidRPr="00F07202" w:rsidRDefault="00F07202" w:rsidP="00F07202">
      <w:pPr>
        <w:rPr>
          <w:lang w:val="en-US"/>
        </w:rPr>
      </w:pPr>
      <w:r w:rsidRPr="00F07202">
        <w:rPr>
          <w:lang w:val="en-US"/>
        </w:rPr>
        <w:t>On the other hand, if RAN2 concludes that it is necessary to support different time alignment for two uplink</w:t>
      </w:r>
      <w:r>
        <w:rPr>
          <w:lang w:val="en-US"/>
        </w:rPr>
        <w:t>s</w:t>
      </w:r>
      <w:r w:rsidRPr="00F07202">
        <w:rPr>
          <w:lang w:val="en-US"/>
        </w:rPr>
        <w:t xml:space="preserve">, </w:t>
      </w:r>
      <w:r>
        <w:rPr>
          <w:lang w:val="en-US"/>
        </w:rPr>
        <w:t xml:space="preserve">we think current two UL of the same cell modeling is not appropriate </w:t>
      </w:r>
      <w:r w:rsidR="008F4ADB">
        <w:rPr>
          <w:lang w:val="en-US"/>
        </w:rPr>
        <w:t>to support this case, as UE can</w:t>
      </w:r>
      <w:r>
        <w:rPr>
          <w:lang w:val="en-US"/>
        </w:rPr>
        <w:t xml:space="preserve">not differentiate which UL carrier the received TA command is referring to, and we should consider </w:t>
      </w:r>
      <w:r w:rsidR="008F4ADB">
        <w:rPr>
          <w:lang w:val="en-US"/>
        </w:rPr>
        <w:t>modelling</w:t>
      </w:r>
      <w:r>
        <w:rPr>
          <w:lang w:val="en-US"/>
        </w:rPr>
        <w:t xml:space="preserve"> </w:t>
      </w:r>
      <w:bookmarkStart w:id="16" w:name="_GoBack"/>
      <w:bookmarkEnd w:id="16"/>
      <w:r>
        <w:rPr>
          <w:lang w:val="en-US"/>
        </w:rPr>
        <w:t>two UL as two serving cells instead of one same cell.</w:t>
      </w:r>
    </w:p>
    <w:p w14:paraId="53C28379" w14:textId="23C0936C" w:rsidR="000334B1" w:rsidRDefault="000334B1" w:rsidP="000334B1">
      <w:pPr>
        <w:pStyle w:val="Proposal"/>
        <w:rPr>
          <w:lang w:eastAsia="en-US"/>
        </w:rPr>
      </w:pPr>
      <w:bookmarkStart w:id="17" w:name="_Toc499047670"/>
      <w:bookmarkStart w:id="18" w:name="_Toc499048145"/>
      <w:bookmarkStart w:id="19" w:name="_Toc499196002"/>
      <w:r>
        <w:rPr>
          <w:lang w:eastAsia="en-US"/>
        </w:rPr>
        <w:t>If RAN2 concludes that it is necessary to support different time alignment for the two uplinks, RAN2 should revisit the previous decision and instead consider modelling it by means of two Serving Cells.</w:t>
      </w:r>
      <w:bookmarkEnd w:id="17"/>
      <w:bookmarkEnd w:id="18"/>
      <w:bookmarkEnd w:id="19"/>
      <w:r>
        <w:rPr>
          <w:lang w:eastAsia="en-US"/>
        </w:rPr>
        <w:t xml:space="preserve"> </w:t>
      </w:r>
    </w:p>
    <w:p w14:paraId="4197F87C" w14:textId="297F13E9" w:rsidR="00C01F33" w:rsidRPr="00CE0424" w:rsidRDefault="00C01F33" w:rsidP="000334B1">
      <w:pPr>
        <w:pStyle w:val="Heading1"/>
      </w:pPr>
      <w:r w:rsidRPr="00CE0424">
        <w:t>Conclusion</w:t>
      </w:r>
    </w:p>
    <w:p w14:paraId="01620105" w14:textId="77777777" w:rsidR="00274357" w:rsidRDefault="008E065E" w:rsidP="002278A0">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267DF">
        <w:t>2</w:t>
      </w:r>
      <w:r w:rsidRPr="00CE0424">
        <w:rPr>
          <w:highlight w:val="cyan"/>
        </w:rPr>
        <w:fldChar w:fldCharType="end"/>
      </w:r>
      <w:r w:rsidRPr="00CE0424">
        <w:t xml:space="preserve"> we </w:t>
      </w:r>
      <w:r>
        <w:t>made the following observations</w:t>
      </w:r>
      <w:r w:rsidRPr="00CE0424">
        <w:t>:</w:t>
      </w:r>
      <w:r w:rsidR="002278A0">
        <w:rPr>
          <w:b/>
          <w:bCs/>
        </w:rPr>
        <w:fldChar w:fldCharType="begin"/>
      </w:r>
      <w:r w:rsidR="002278A0">
        <w:rPr>
          <w:b/>
          <w:bCs/>
        </w:rPr>
        <w:instrText xml:space="preserve"> TOC \f \n \p " " \t "Observation,1" </w:instrText>
      </w:r>
      <w:r w:rsidR="002278A0">
        <w:rPr>
          <w:b/>
          <w:bCs/>
        </w:rPr>
        <w:fldChar w:fldCharType="separate"/>
      </w:r>
    </w:p>
    <w:p w14:paraId="27CDC7E7" w14:textId="77777777" w:rsidR="00274357" w:rsidRDefault="00274357">
      <w:pPr>
        <w:pStyle w:val="TOC1"/>
        <w:rPr>
          <w:rFonts w:asciiTheme="minorHAnsi" w:hAnsiTheme="minorHAnsi" w:cstheme="minorBidi"/>
          <w:b w:val="0"/>
          <w:sz w:val="22"/>
        </w:rPr>
      </w:pPr>
      <w:r w:rsidRPr="00EE38AB">
        <w:t>Observation 1</w:t>
      </w:r>
      <w:r>
        <w:rPr>
          <w:rFonts w:asciiTheme="minorHAnsi" w:hAnsiTheme="minorHAnsi" w:cstheme="minorBidi"/>
          <w:b w:val="0"/>
          <w:sz w:val="22"/>
        </w:rPr>
        <w:tab/>
      </w:r>
      <w:r w:rsidRPr="00EE38AB">
        <w:t>Same TA can be assumed for SUL deployment scenario.</w:t>
      </w:r>
    </w:p>
    <w:p w14:paraId="275C0B0A" w14:textId="77777777" w:rsidR="008E065E" w:rsidRDefault="002278A0" w:rsidP="002278A0">
      <w:pPr>
        <w:pStyle w:val="BodyText"/>
        <w:rPr>
          <w:b/>
          <w:bCs/>
        </w:rPr>
      </w:pPr>
      <w:r>
        <w:rPr>
          <w:b/>
          <w:bCs/>
        </w:rPr>
        <w:fldChar w:fldCharType="end"/>
      </w:r>
    </w:p>
    <w:p w14:paraId="42077191" w14:textId="77777777" w:rsidR="00DB704A" w:rsidRDefault="008E065E" w:rsidP="006F3B7B">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267DF">
        <w:t>2</w:t>
      </w:r>
      <w:r w:rsidRPr="00CE0424">
        <w:rPr>
          <w:highlight w:val="cyan"/>
        </w:rPr>
        <w:fldChar w:fldCharType="end"/>
      </w:r>
      <w:r w:rsidRPr="00CE0424">
        <w:t xml:space="preserve"> we propose the following:</w:t>
      </w:r>
      <w:r w:rsidR="006F3B7B">
        <w:rPr>
          <w:b/>
          <w:bCs/>
        </w:rPr>
        <w:fldChar w:fldCharType="begin"/>
      </w:r>
      <w:r w:rsidR="006F3B7B">
        <w:rPr>
          <w:b/>
          <w:bCs/>
        </w:rPr>
        <w:instrText xml:space="preserve"> TOC \f \n \p " " \t "Proposal,1" </w:instrText>
      </w:r>
      <w:r w:rsidR="006F3B7B">
        <w:rPr>
          <w:b/>
          <w:bCs/>
        </w:rPr>
        <w:fldChar w:fldCharType="separate"/>
      </w:r>
    </w:p>
    <w:p w14:paraId="329CA1F7" w14:textId="77777777" w:rsidR="00DB704A" w:rsidRDefault="00DB704A">
      <w:pPr>
        <w:pStyle w:val="TOC1"/>
        <w:rPr>
          <w:rFonts w:asciiTheme="minorHAnsi" w:hAnsiTheme="minorHAnsi" w:cstheme="minorBidi"/>
          <w:b w:val="0"/>
          <w:sz w:val="22"/>
        </w:rPr>
      </w:pPr>
      <w:r>
        <w:lastRenderedPageBreak/>
        <w:t>Proposal 1</w:t>
      </w:r>
      <w:r>
        <w:rPr>
          <w:rFonts w:asciiTheme="minorHAnsi" w:hAnsiTheme="minorHAnsi" w:cstheme="minorBidi"/>
          <w:b w:val="0"/>
          <w:sz w:val="22"/>
        </w:rPr>
        <w:tab/>
      </w:r>
      <w:r>
        <w:t>At least ServingCellConfigCommon need be extended to configure both normal UL carrier and SUL carrier with PUCCH configured on one UL carrier only.</w:t>
      </w:r>
    </w:p>
    <w:p w14:paraId="3DFE55D9" w14:textId="77777777" w:rsidR="00DB704A" w:rsidRDefault="00DB704A">
      <w:pPr>
        <w:pStyle w:val="TOC1"/>
        <w:rPr>
          <w:rFonts w:asciiTheme="minorHAnsi" w:hAnsiTheme="minorHAnsi" w:cstheme="minorBidi"/>
          <w:b w:val="0"/>
          <w:sz w:val="22"/>
        </w:rPr>
      </w:pPr>
      <w:r>
        <w:rPr>
          <w:lang w:eastAsia="en-US"/>
        </w:rPr>
        <w:t>Proposal 2</w:t>
      </w:r>
      <w:r>
        <w:rPr>
          <w:rFonts w:asciiTheme="minorHAnsi" w:hAnsiTheme="minorHAnsi" w:cstheme="minorBidi"/>
          <w:b w:val="0"/>
          <w:sz w:val="22"/>
        </w:rPr>
        <w:tab/>
      </w:r>
      <w:r w:rsidRPr="009579A5">
        <w:t>For RRC_Connected UE, UE initiate random access on the UL carrier which is configured with PUCCH.</w:t>
      </w:r>
    </w:p>
    <w:p w14:paraId="61304CDB" w14:textId="77777777" w:rsidR="00DB704A" w:rsidRDefault="00DB704A">
      <w:pPr>
        <w:pStyle w:val="TOC1"/>
        <w:rPr>
          <w:rFonts w:asciiTheme="minorHAnsi" w:hAnsiTheme="minorHAnsi" w:cstheme="minorBidi"/>
          <w:b w:val="0"/>
          <w:sz w:val="22"/>
        </w:rPr>
      </w:pPr>
      <w:r>
        <w:rPr>
          <w:lang w:eastAsia="en-US"/>
        </w:rPr>
        <w:t>Proposal 3</w:t>
      </w:r>
      <w:r>
        <w:rPr>
          <w:rFonts w:asciiTheme="minorHAnsi" w:hAnsiTheme="minorHAnsi" w:cstheme="minorBidi"/>
          <w:b w:val="0"/>
          <w:sz w:val="22"/>
        </w:rPr>
        <w:tab/>
      </w:r>
      <w:r>
        <w:rPr>
          <w:lang w:eastAsia="en-US"/>
        </w:rPr>
        <w:t>If RAN2 concludes that it is necessary to support different time alignment for the two uplinks, RAN2 should revisit the previous decision and instead consider modelling it by means of two Serving Cells.</w:t>
      </w:r>
    </w:p>
    <w:p w14:paraId="14BC3FB6" w14:textId="77777777" w:rsidR="00311702" w:rsidRPr="00D04434" w:rsidRDefault="006F3B7B" w:rsidP="006F3B7B">
      <w:pPr>
        <w:pStyle w:val="BodyText"/>
        <w:rPr>
          <w:b/>
          <w:bCs/>
        </w:rPr>
      </w:pPr>
      <w:r>
        <w:rPr>
          <w:b/>
          <w:bCs/>
        </w:rPr>
        <w:fldChar w:fldCharType="end"/>
      </w:r>
    </w:p>
    <w:p w14:paraId="14E4EC1B" w14:textId="77777777" w:rsidR="00C01F33" w:rsidRPr="00CE0424" w:rsidRDefault="00C01F33" w:rsidP="006E062C"/>
    <w:p w14:paraId="3EFBB440" w14:textId="77777777" w:rsidR="003A7EF3" w:rsidRPr="00CE0424" w:rsidRDefault="003A7EF3" w:rsidP="00CE0424">
      <w:pPr>
        <w:pStyle w:val="BodyText"/>
      </w:pPr>
      <w:bookmarkStart w:id="20" w:name="_In-sequence_SDU_delivery"/>
      <w:bookmarkEnd w:id="20"/>
    </w:p>
    <w:sectPr w:rsidR="003A7EF3" w:rsidRPr="00CE0424" w:rsidSect="000334B1">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26AAA" w14:textId="77777777" w:rsidR="00435C56" w:rsidRDefault="00435C56">
      <w:r>
        <w:separator/>
      </w:r>
    </w:p>
  </w:endnote>
  <w:endnote w:type="continuationSeparator" w:id="0">
    <w:p w14:paraId="68929E73" w14:textId="77777777" w:rsidR="00435C56" w:rsidRDefault="00435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06789" w14:textId="5287C94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4AD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4AD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0E436" w14:textId="77777777" w:rsidR="00435C56" w:rsidRDefault="00435C56">
      <w:r>
        <w:separator/>
      </w:r>
    </w:p>
  </w:footnote>
  <w:footnote w:type="continuationSeparator" w:id="0">
    <w:p w14:paraId="7BBFC5C1" w14:textId="77777777" w:rsidR="00435C56" w:rsidRDefault="00435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DDCF4"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0095F59"/>
    <w:multiLevelType w:val="hybridMultilevel"/>
    <w:tmpl w:val="B2EED232"/>
    <w:lvl w:ilvl="0" w:tplc="5EF42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7"/>
  </w:num>
  <w:num w:numId="4">
    <w:abstractNumId w:val="8"/>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 w:numId="15">
    <w:abstractNumId w:val="7"/>
  </w:num>
  <w:num w:numId="16">
    <w:abstractNumId w:val="7"/>
  </w:num>
  <w:num w:numId="17">
    <w:abstractNumId w:val="7"/>
  </w:num>
  <w:num w:numId="18">
    <w:abstractNumId w:val="7"/>
  </w:num>
  <w:num w:numId="19">
    <w:abstractNumId w:val="7"/>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7DF"/>
    <w:rsid w:val="000006E1"/>
    <w:rsid w:val="00002A37"/>
    <w:rsid w:val="00006446"/>
    <w:rsid w:val="00006896"/>
    <w:rsid w:val="00006B58"/>
    <w:rsid w:val="00007CDC"/>
    <w:rsid w:val="00011B28"/>
    <w:rsid w:val="00015D15"/>
    <w:rsid w:val="0002564D"/>
    <w:rsid w:val="00025ECA"/>
    <w:rsid w:val="00027939"/>
    <w:rsid w:val="000325B8"/>
    <w:rsid w:val="000334B1"/>
    <w:rsid w:val="00034C15"/>
    <w:rsid w:val="00036BA1"/>
    <w:rsid w:val="000422E2"/>
    <w:rsid w:val="00042F22"/>
    <w:rsid w:val="000444EF"/>
    <w:rsid w:val="0005105C"/>
    <w:rsid w:val="00052A07"/>
    <w:rsid w:val="000534E3"/>
    <w:rsid w:val="000535CA"/>
    <w:rsid w:val="0005606A"/>
    <w:rsid w:val="00057117"/>
    <w:rsid w:val="00060BD2"/>
    <w:rsid w:val="000616E7"/>
    <w:rsid w:val="0006487E"/>
    <w:rsid w:val="00065E1A"/>
    <w:rsid w:val="0007748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C39"/>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3B28"/>
    <w:rsid w:val="001551B5"/>
    <w:rsid w:val="001643A8"/>
    <w:rsid w:val="00165017"/>
    <w:rsid w:val="001659C1"/>
    <w:rsid w:val="00173A8E"/>
    <w:rsid w:val="001762A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8A0"/>
    <w:rsid w:val="00230765"/>
    <w:rsid w:val="002319E4"/>
    <w:rsid w:val="00235632"/>
    <w:rsid w:val="00235872"/>
    <w:rsid w:val="00241559"/>
    <w:rsid w:val="002435B3"/>
    <w:rsid w:val="002458EB"/>
    <w:rsid w:val="002500C8"/>
    <w:rsid w:val="00257543"/>
    <w:rsid w:val="002617E7"/>
    <w:rsid w:val="00261FC8"/>
    <w:rsid w:val="00263145"/>
    <w:rsid w:val="00264228"/>
    <w:rsid w:val="00264334"/>
    <w:rsid w:val="0026473E"/>
    <w:rsid w:val="00266214"/>
    <w:rsid w:val="00267C83"/>
    <w:rsid w:val="00270361"/>
    <w:rsid w:val="0027144F"/>
    <w:rsid w:val="00271F3A"/>
    <w:rsid w:val="00273278"/>
    <w:rsid w:val="002737F4"/>
    <w:rsid w:val="00274357"/>
    <w:rsid w:val="002805F5"/>
    <w:rsid w:val="00280751"/>
    <w:rsid w:val="0028280A"/>
    <w:rsid w:val="00286ACD"/>
    <w:rsid w:val="00287838"/>
    <w:rsid w:val="002907B5"/>
    <w:rsid w:val="00292EB7"/>
    <w:rsid w:val="00296227"/>
    <w:rsid w:val="00296F44"/>
    <w:rsid w:val="0029777D"/>
    <w:rsid w:val="002A055E"/>
    <w:rsid w:val="002A1D4E"/>
    <w:rsid w:val="002A2869"/>
    <w:rsid w:val="002A349B"/>
    <w:rsid w:val="002B09F6"/>
    <w:rsid w:val="002B24D6"/>
    <w:rsid w:val="002C41E6"/>
    <w:rsid w:val="002D071A"/>
    <w:rsid w:val="002D34B2"/>
    <w:rsid w:val="002D7637"/>
    <w:rsid w:val="002E17F2"/>
    <w:rsid w:val="002E50AE"/>
    <w:rsid w:val="002E7CAE"/>
    <w:rsid w:val="002F1E8E"/>
    <w:rsid w:val="002F2771"/>
    <w:rsid w:val="002F37A9"/>
    <w:rsid w:val="002F5A16"/>
    <w:rsid w:val="00301CE6"/>
    <w:rsid w:val="0030256B"/>
    <w:rsid w:val="0030501F"/>
    <w:rsid w:val="00307BA1"/>
    <w:rsid w:val="00311702"/>
    <w:rsid w:val="00311E82"/>
    <w:rsid w:val="00313FD6"/>
    <w:rsid w:val="003143BD"/>
    <w:rsid w:val="00317974"/>
    <w:rsid w:val="00317B01"/>
    <w:rsid w:val="003203ED"/>
    <w:rsid w:val="00322C9F"/>
    <w:rsid w:val="00324D23"/>
    <w:rsid w:val="00331751"/>
    <w:rsid w:val="00334579"/>
    <w:rsid w:val="00335858"/>
    <w:rsid w:val="00336BDA"/>
    <w:rsid w:val="00342BD7"/>
    <w:rsid w:val="00343832"/>
    <w:rsid w:val="00343A07"/>
    <w:rsid w:val="00346DB5"/>
    <w:rsid w:val="003477B1"/>
    <w:rsid w:val="0035482C"/>
    <w:rsid w:val="00357380"/>
    <w:rsid w:val="003602D9"/>
    <w:rsid w:val="003604CE"/>
    <w:rsid w:val="00370E47"/>
    <w:rsid w:val="003742AC"/>
    <w:rsid w:val="00377CE1"/>
    <w:rsid w:val="00385BF0"/>
    <w:rsid w:val="00392EC4"/>
    <w:rsid w:val="003939FF"/>
    <w:rsid w:val="003A2223"/>
    <w:rsid w:val="003A2A0F"/>
    <w:rsid w:val="003A45A1"/>
    <w:rsid w:val="003A5B0A"/>
    <w:rsid w:val="003A6BAC"/>
    <w:rsid w:val="003A7EF3"/>
    <w:rsid w:val="003B159C"/>
    <w:rsid w:val="003B369F"/>
    <w:rsid w:val="003B36A3"/>
    <w:rsid w:val="003B5654"/>
    <w:rsid w:val="003B7FE5"/>
    <w:rsid w:val="003C11C8"/>
    <w:rsid w:val="003C2702"/>
    <w:rsid w:val="003C4407"/>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6EF3"/>
    <w:rsid w:val="00421105"/>
    <w:rsid w:val="004242F4"/>
    <w:rsid w:val="00427248"/>
    <w:rsid w:val="00433957"/>
    <w:rsid w:val="00435C56"/>
    <w:rsid w:val="00437447"/>
    <w:rsid w:val="00441A92"/>
    <w:rsid w:val="004422FA"/>
    <w:rsid w:val="00444F56"/>
    <w:rsid w:val="00446488"/>
    <w:rsid w:val="004517AA"/>
    <w:rsid w:val="00452CAC"/>
    <w:rsid w:val="00457565"/>
    <w:rsid w:val="00457B71"/>
    <w:rsid w:val="00461D06"/>
    <w:rsid w:val="00465F3A"/>
    <w:rsid w:val="004669E2"/>
    <w:rsid w:val="00470C31"/>
    <w:rsid w:val="004734D0"/>
    <w:rsid w:val="0047556B"/>
    <w:rsid w:val="004755D0"/>
    <w:rsid w:val="00477768"/>
    <w:rsid w:val="00492BC5"/>
    <w:rsid w:val="004964F1"/>
    <w:rsid w:val="004A16BC"/>
    <w:rsid w:val="004A2B94"/>
    <w:rsid w:val="004B7C0C"/>
    <w:rsid w:val="004C3898"/>
    <w:rsid w:val="004D2285"/>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41B3"/>
    <w:rsid w:val="00525B79"/>
    <w:rsid w:val="00531534"/>
    <w:rsid w:val="005338D0"/>
    <w:rsid w:val="00534B59"/>
    <w:rsid w:val="00536759"/>
    <w:rsid w:val="00537C62"/>
    <w:rsid w:val="00546970"/>
    <w:rsid w:val="00554E19"/>
    <w:rsid w:val="00557604"/>
    <w:rsid w:val="0056121F"/>
    <w:rsid w:val="00572505"/>
    <w:rsid w:val="005735AC"/>
    <w:rsid w:val="00580202"/>
    <w:rsid w:val="00582809"/>
    <w:rsid w:val="0058798C"/>
    <w:rsid w:val="005900FA"/>
    <w:rsid w:val="005935A4"/>
    <w:rsid w:val="005948C2"/>
    <w:rsid w:val="00595DCA"/>
    <w:rsid w:val="0059779B"/>
    <w:rsid w:val="005A209A"/>
    <w:rsid w:val="005A662D"/>
    <w:rsid w:val="005B1D26"/>
    <w:rsid w:val="005B35D7"/>
    <w:rsid w:val="005B392A"/>
    <w:rsid w:val="005B3AA3"/>
    <w:rsid w:val="005B3E86"/>
    <w:rsid w:val="005B6F83"/>
    <w:rsid w:val="005C74FB"/>
    <w:rsid w:val="005D1602"/>
    <w:rsid w:val="005E385F"/>
    <w:rsid w:val="005E5B81"/>
    <w:rsid w:val="005F2CB1"/>
    <w:rsid w:val="005F3025"/>
    <w:rsid w:val="005F4D03"/>
    <w:rsid w:val="005F618C"/>
    <w:rsid w:val="005F70BD"/>
    <w:rsid w:val="00601E47"/>
    <w:rsid w:val="0060283C"/>
    <w:rsid w:val="00604F14"/>
    <w:rsid w:val="00605F62"/>
    <w:rsid w:val="00611B83"/>
    <w:rsid w:val="0061305F"/>
    <w:rsid w:val="00613257"/>
    <w:rsid w:val="00613A69"/>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E1A"/>
    <w:rsid w:val="006924BE"/>
    <w:rsid w:val="00695FC2"/>
    <w:rsid w:val="00696949"/>
    <w:rsid w:val="00697052"/>
    <w:rsid w:val="006A46FB"/>
    <w:rsid w:val="006A5E28"/>
    <w:rsid w:val="006A697B"/>
    <w:rsid w:val="006A7AFF"/>
    <w:rsid w:val="006B1816"/>
    <w:rsid w:val="006B2099"/>
    <w:rsid w:val="006B264D"/>
    <w:rsid w:val="006B50CF"/>
    <w:rsid w:val="006C03B8"/>
    <w:rsid w:val="006C3BFF"/>
    <w:rsid w:val="006C5EC9"/>
    <w:rsid w:val="006C6059"/>
    <w:rsid w:val="006C7522"/>
    <w:rsid w:val="006D6F08"/>
    <w:rsid w:val="006E062C"/>
    <w:rsid w:val="006E28B7"/>
    <w:rsid w:val="006E3310"/>
    <w:rsid w:val="006E4E39"/>
    <w:rsid w:val="006E565E"/>
    <w:rsid w:val="006E673D"/>
    <w:rsid w:val="006E7D3B"/>
    <w:rsid w:val="006F1B70"/>
    <w:rsid w:val="006F341D"/>
    <w:rsid w:val="006F3B7B"/>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17FF"/>
    <w:rsid w:val="00741EC5"/>
    <w:rsid w:val="0074405B"/>
    <w:rsid w:val="007445A0"/>
    <w:rsid w:val="0074524B"/>
    <w:rsid w:val="00747D8B"/>
    <w:rsid w:val="00751228"/>
    <w:rsid w:val="007571E1"/>
    <w:rsid w:val="00757D4A"/>
    <w:rsid w:val="007604B2"/>
    <w:rsid w:val="00765281"/>
    <w:rsid w:val="00766BAD"/>
    <w:rsid w:val="007730BD"/>
    <w:rsid w:val="007755F2"/>
    <w:rsid w:val="00776971"/>
    <w:rsid w:val="0078177E"/>
    <w:rsid w:val="0078304C"/>
    <w:rsid w:val="00783673"/>
    <w:rsid w:val="00785490"/>
    <w:rsid w:val="007925EA"/>
    <w:rsid w:val="00793CD8"/>
    <w:rsid w:val="00794636"/>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67DF"/>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639"/>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6F38"/>
    <w:rsid w:val="008C7573"/>
    <w:rsid w:val="008D34F1"/>
    <w:rsid w:val="008D39D8"/>
    <w:rsid w:val="008D63EB"/>
    <w:rsid w:val="008D6D1A"/>
    <w:rsid w:val="008E065E"/>
    <w:rsid w:val="008E0927"/>
    <w:rsid w:val="008E1909"/>
    <w:rsid w:val="008F1EAB"/>
    <w:rsid w:val="008F33DC"/>
    <w:rsid w:val="008F477F"/>
    <w:rsid w:val="008F4ADB"/>
    <w:rsid w:val="00902350"/>
    <w:rsid w:val="0090336B"/>
    <w:rsid w:val="009053AA"/>
    <w:rsid w:val="00906939"/>
    <w:rsid w:val="00910847"/>
    <w:rsid w:val="00910B7D"/>
    <w:rsid w:val="00911DFB"/>
    <w:rsid w:val="009139D9"/>
    <w:rsid w:val="00914AD8"/>
    <w:rsid w:val="009151A0"/>
    <w:rsid w:val="00916079"/>
    <w:rsid w:val="00917CE9"/>
    <w:rsid w:val="00920BF2"/>
    <w:rsid w:val="00922010"/>
    <w:rsid w:val="00931BD9"/>
    <w:rsid w:val="009368F3"/>
    <w:rsid w:val="00937524"/>
    <w:rsid w:val="00937771"/>
    <w:rsid w:val="00941636"/>
    <w:rsid w:val="00943742"/>
    <w:rsid w:val="0094383B"/>
    <w:rsid w:val="00945C05"/>
    <w:rsid w:val="00946945"/>
    <w:rsid w:val="00947713"/>
    <w:rsid w:val="00950DE7"/>
    <w:rsid w:val="00953920"/>
    <w:rsid w:val="00953D47"/>
    <w:rsid w:val="0095681E"/>
    <w:rsid w:val="009572D4"/>
    <w:rsid w:val="00961921"/>
    <w:rsid w:val="0096430A"/>
    <w:rsid w:val="00964ED1"/>
    <w:rsid w:val="0096554B"/>
    <w:rsid w:val="0096584A"/>
    <w:rsid w:val="00971F08"/>
    <w:rsid w:val="0097603D"/>
    <w:rsid w:val="00976949"/>
    <w:rsid w:val="00980477"/>
    <w:rsid w:val="00985253"/>
    <w:rsid w:val="009853B3"/>
    <w:rsid w:val="00990630"/>
    <w:rsid w:val="00991761"/>
    <w:rsid w:val="00994DCA"/>
    <w:rsid w:val="009960EC"/>
    <w:rsid w:val="009970DD"/>
    <w:rsid w:val="009A0855"/>
    <w:rsid w:val="009A0E50"/>
    <w:rsid w:val="009A0FBA"/>
    <w:rsid w:val="009A1601"/>
    <w:rsid w:val="009A462D"/>
    <w:rsid w:val="009A5CBA"/>
    <w:rsid w:val="009B1F30"/>
    <w:rsid w:val="009B3AC2"/>
    <w:rsid w:val="009B4DF4"/>
    <w:rsid w:val="009B4E1F"/>
    <w:rsid w:val="009B564E"/>
    <w:rsid w:val="009B7E87"/>
    <w:rsid w:val="009C403E"/>
    <w:rsid w:val="009D4FF0"/>
    <w:rsid w:val="009D703C"/>
    <w:rsid w:val="009D718F"/>
    <w:rsid w:val="009E068F"/>
    <w:rsid w:val="009E14E0"/>
    <w:rsid w:val="009E35DB"/>
    <w:rsid w:val="009E47A3"/>
    <w:rsid w:val="009F08F3"/>
    <w:rsid w:val="009F1ECE"/>
    <w:rsid w:val="009F344F"/>
    <w:rsid w:val="00A01D94"/>
    <w:rsid w:val="00A048A8"/>
    <w:rsid w:val="00A04F49"/>
    <w:rsid w:val="00A06F3B"/>
    <w:rsid w:val="00A13E54"/>
    <w:rsid w:val="00A17F63"/>
    <w:rsid w:val="00A2193B"/>
    <w:rsid w:val="00A2351A"/>
    <w:rsid w:val="00A264A9"/>
    <w:rsid w:val="00A27785"/>
    <w:rsid w:val="00A30187"/>
    <w:rsid w:val="00A3448A"/>
    <w:rsid w:val="00A36297"/>
    <w:rsid w:val="00A41E2B"/>
    <w:rsid w:val="00A45B74"/>
    <w:rsid w:val="00A52E1D"/>
    <w:rsid w:val="00A565FE"/>
    <w:rsid w:val="00A61499"/>
    <w:rsid w:val="00A62A77"/>
    <w:rsid w:val="00A63483"/>
    <w:rsid w:val="00A657D7"/>
    <w:rsid w:val="00A660AC"/>
    <w:rsid w:val="00A67E6C"/>
    <w:rsid w:val="00A71B99"/>
    <w:rsid w:val="00A739D0"/>
    <w:rsid w:val="00A761D4"/>
    <w:rsid w:val="00A76BBC"/>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09B7"/>
    <w:rsid w:val="00B372AA"/>
    <w:rsid w:val="00B40445"/>
    <w:rsid w:val="00B41006"/>
    <w:rsid w:val="00B41888"/>
    <w:rsid w:val="00B42BDB"/>
    <w:rsid w:val="00B45A52"/>
    <w:rsid w:val="00B46175"/>
    <w:rsid w:val="00B62AAA"/>
    <w:rsid w:val="00B632A8"/>
    <w:rsid w:val="00B664C7"/>
    <w:rsid w:val="00B739F6"/>
    <w:rsid w:val="00B7642B"/>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62C6"/>
    <w:rsid w:val="00C07377"/>
    <w:rsid w:val="00C10478"/>
    <w:rsid w:val="00C12107"/>
    <w:rsid w:val="00C14D4B"/>
    <w:rsid w:val="00C154BB"/>
    <w:rsid w:val="00C26FAA"/>
    <w:rsid w:val="00C279B5"/>
    <w:rsid w:val="00C27C45"/>
    <w:rsid w:val="00C3719D"/>
    <w:rsid w:val="00C54995"/>
    <w:rsid w:val="00C54D41"/>
    <w:rsid w:val="00C60783"/>
    <w:rsid w:val="00C64672"/>
    <w:rsid w:val="00C66BC0"/>
    <w:rsid w:val="00C70697"/>
    <w:rsid w:val="00C72EF4"/>
    <w:rsid w:val="00C75D2F"/>
    <w:rsid w:val="00C767BE"/>
    <w:rsid w:val="00C76963"/>
    <w:rsid w:val="00C76E3C"/>
    <w:rsid w:val="00C81568"/>
    <w:rsid w:val="00C8775C"/>
    <w:rsid w:val="00C9027A"/>
    <w:rsid w:val="00C9068E"/>
    <w:rsid w:val="00C93C4B"/>
    <w:rsid w:val="00C944AB"/>
    <w:rsid w:val="00C95B40"/>
    <w:rsid w:val="00CA1ED8"/>
    <w:rsid w:val="00CA58FE"/>
    <w:rsid w:val="00CB0F5A"/>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D72"/>
    <w:rsid w:val="00D23F47"/>
    <w:rsid w:val="00D3005B"/>
    <w:rsid w:val="00D30571"/>
    <w:rsid w:val="00D307DD"/>
    <w:rsid w:val="00D36E71"/>
    <w:rsid w:val="00D37D87"/>
    <w:rsid w:val="00D40B33"/>
    <w:rsid w:val="00D42886"/>
    <w:rsid w:val="00D4318F"/>
    <w:rsid w:val="00D438BF"/>
    <w:rsid w:val="00D440F8"/>
    <w:rsid w:val="00D45084"/>
    <w:rsid w:val="00D546FF"/>
    <w:rsid w:val="00D55AD5"/>
    <w:rsid w:val="00D576CA"/>
    <w:rsid w:val="00D60E13"/>
    <w:rsid w:val="00D6154E"/>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1EDB"/>
    <w:rsid w:val="00D92982"/>
    <w:rsid w:val="00DA305E"/>
    <w:rsid w:val="00DA5007"/>
    <w:rsid w:val="00DA5417"/>
    <w:rsid w:val="00DA56E8"/>
    <w:rsid w:val="00DA78C8"/>
    <w:rsid w:val="00DB0A9F"/>
    <w:rsid w:val="00DB377D"/>
    <w:rsid w:val="00DB704A"/>
    <w:rsid w:val="00DB7C27"/>
    <w:rsid w:val="00DC2D36"/>
    <w:rsid w:val="00DC53EF"/>
    <w:rsid w:val="00DC7445"/>
    <w:rsid w:val="00DD2AE2"/>
    <w:rsid w:val="00DD6253"/>
    <w:rsid w:val="00DE5608"/>
    <w:rsid w:val="00DE58D0"/>
    <w:rsid w:val="00DE654F"/>
    <w:rsid w:val="00DF0B6E"/>
    <w:rsid w:val="00DF15E0"/>
    <w:rsid w:val="00DF37A0"/>
    <w:rsid w:val="00DF5C56"/>
    <w:rsid w:val="00E027FF"/>
    <w:rsid w:val="00E110E7"/>
    <w:rsid w:val="00E11B20"/>
    <w:rsid w:val="00E17FA2"/>
    <w:rsid w:val="00E21FAE"/>
    <w:rsid w:val="00E22330"/>
    <w:rsid w:val="00E30B5A"/>
    <w:rsid w:val="00E3123D"/>
    <w:rsid w:val="00E31461"/>
    <w:rsid w:val="00E31D43"/>
    <w:rsid w:val="00E32608"/>
    <w:rsid w:val="00E34188"/>
    <w:rsid w:val="00E345CD"/>
    <w:rsid w:val="00E34B6E"/>
    <w:rsid w:val="00E35559"/>
    <w:rsid w:val="00E3723A"/>
    <w:rsid w:val="00E37860"/>
    <w:rsid w:val="00E43A59"/>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AA4"/>
    <w:rsid w:val="00EB4964"/>
    <w:rsid w:val="00EB4EA2"/>
    <w:rsid w:val="00EC005C"/>
    <w:rsid w:val="00EC27C6"/>
    <w:rsid w:val="00EC4207"/>
    <w:rsid w:val="00EC5653"/>
    <w:rsid w:val="00EC60B5"/>
    <w:rsid w:val="00EC71CE"/>
    <w:rsid w:val="00ED1006"/>
    <w:rsid w:val="00EF18FE"/>
    <w:rsid w:val="00EF5787"/>
    <w:rsid w:val="00EF60D0"/>
    <w:rsid w:val="00F0528D"/>
    <w:rsid w:val="00F06C67"/>
    <w:rsid w:val="00F06DFD"/>
    <w:rsid w:val="00F071D1"/>
    <w:rsid w:val="00F07202"/>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3AD6"/>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3969"/>
    <w:rsid w:val="00FB4C80"/>
    <w:rsid w:val="00FB6A6A"/>
    <w:rsid w:val="00FC4AD0"/>
    <w:rsid w:val="00FC6769"/>
    <w:rsid w:val="00FC7429"/>
    <w:rsid w:val="00FD07F6"/>
    <w:rsid w:val="00FD1EC8"/>
    <w:rsid w:val="00FD3FB3"/>
    <w:rsid w:val="00FD47ED"/>
    <w:rsid w:val="00FD74DB"/>
    <w:rsid w:val="00FD7660"/>
    <w:rsid w:val="00FE0655"/>
    <w:rsid w:val="00FE2365"/>
    <w:rsid w:val="00FE3C7D"/>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9BF1455"/>
  <w15:docId w15:val="{D99EFC94-CEAD-4180-B3C8-0475A8324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1EDB"/>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D91E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D91E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91EDB"/>
    <w:pPr>
      <w:numPr>
        <w:ilvl w:val="2"/>
      </w:numPr>
      <w:spacing w:before="120"/>
      <w:outlineLvl w:val="2"/>
    </w:pPr>
    <w:rPr>
      <w:sz w:val="28"/>
      <w:szCs w:val="28"/>
    </w:rPr>
  </w:style>
  <w:style w:type="paragraph" w:styleId="Heading4">
    <w:name w:val="heading 4"/>
    <w:basedOn w:val="Heading3"/>
    <w:next w:val="Normal"/>
    <w:qFormat/>
    <w:rsid w:val="00D91EDB"/>
    <w:pPr>
      <w:numPr>
        <w:ilvl w:val="3"/>
      </w:numPr>
      <w:outlineLvl w:val="3"/>
    </w:pPr>
    <w:rPr>
      <w:sz w:val="24"/>
      <w:szCs w:val="24"/>
    </w:rPr>
  </w:style>
  <w:style w:type="paragraph" w:styleId="Heading5">
    <w:name w:val="heading 5"/>
    <w:basedOn w:val="Heading4"/>
    <w:next w:val="Normal"/>
    <w:qFormat/>
    <w:rsid w:val="00D91EDB"/>
    <w:pPr>
      <w:numPr>
        <w:ilvl w:val="4"/>
      </w:numPr>
      <w:outlineLvl w:val="4"/>
    </w:pPr>
    <w:rPr>
      <w:sz w:val="22"/>
      <w:szCs w:val="22"/>
    </w:rPr>
  </w:style>
  <w:style w:type="paragraph" w:styleId="Heading6">
    <w:name w:val="heading 6"/>
    <w:basedOn w:val="Normal"/>
    <w:next w:val="Normal"/>
    <w:qFormat/>
    <w:rsid w:val="00D91EDB"/>
    <w:pPr>
      <w:keepNext/>
      <w:keepLines/>
      <w:numPr>
        <w:ilvl w:val="5"/>
        <w:numId w:val="1"/>
      </w:numPr>
      <w:spacing w:before="120"/>
      <w:outlineLvl w:val="5"/>
    </w:pPr>
    <w:rPr>
      <w:rFonts w:cs="Arial"/>
    </w:rPr>
  </w:style>
  <w:style w:type="paragraph" w:styleId="Heading7">
    <w:name w:val="heading 7"/>
    <w:basedOn w:val="Normal"/>
    <w:next w:val="Normal"/>
    <w:qFormat/>
    <w:rsid w:val="00D91EDB"/>
    <w:pPr>
      <w:keepNext/>
      <w:keepLines/>
      <w:numPr>
        <w:ilvl w:val="6"/>
        <w:numId w:val="1"/>
      </w:numPr>
      <w:spacing w:before="120"/>
      <w:outlineLvl w:val="6"/>
    </w:pPr>
    <w:rPr>
      <w:rFonts w:cs="Arial"/>
    </w:rPr>
  </w:style>
  <w:style w:type="paragraph" w:styleId="Heading8">
    <w:name w:val="heading 8"/>
    <w:basedOn w:val="Heading7"/>
    <w:next w:val="Normal"/>
    <w:qFormat/>
    <w:rsid w:val="00D91EDB"/>
    <w:pPr>
      <w:numPr>
        <w:ilvl w:val="7"/>
      </w:numPr>
      <w:outlineLvl w:val="7"/>
    </w:pPr>
  </w:style>
  <w:style w:type="paragraph" w:styleId="Heading9">
    <w:name w:val="heading 9"/>
    <w:basedOn w:val="Heading8"/>
    <w:next w:val="Normal"/>
    <w:qFormat/>
    <w:rsid w:val="00D91E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91EDB"/>
    <w:pPr>
      <w:spacing w:before="180"/>
      <w:ind w:left="2693" w:hanging="2693"/>
    </w:pPr>
    <w:rPr>
      <w:b w:val="0"/>
      <w:bCs/>
    </w:rPr>
  </w:style>
  <w:style w:type="paragraph" w:styleId="TOC1">
    <w:name w:val="toc 1"/>
    <w:aliases w:val="Observation TOC2"/>
    <w:uiPriority w:val="39"/>
    <w:rsid w:val="00D91ED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D91EDB"/>
    <w:pPr>
      <w:keepNext/>
      <w:keepLines/>
      <w:spacing w:before="180"/>
      <w:jc w:val="center"/>
    </w:pPr>
  </w:style>
  <w:style w:type="paragraph" w:styleId="Caption">
    <w:name w:val="caption"/>
    <w:basedOn w:val="Normal"/>
    <w:next w:val="Normal"/>
    <w:qFormat/>
    <w:rsid w:val="00D91EDB"/>
    <w:pPr>
      <w:spacing w:after="240"/>
      <w:jc w:val="center"/>
    </w:pPr>
    <w:rPr>
      <w:b/>
      <w:bCs/>
    </w:rPr>
  </w:style>
  <w:style w:type="paragraph" w:styleId="TOC5">
    <w:name w:val="toc 5"/>
    <w:aliases w:val="Observation TOC"/>
    <w:basedOn w:val="TOC4"/>
    <w:semiHidden/>
    <w:rsid w:val="00D91EDB"/>
    <w:pPr>
      <w:tabs>
        <w:tab w:val="right" w:pos="1701"/>
      </w:tabs>
      <w:ind w:left="1701" w:hanging="1701"/>
    </w:pPr>
  </w:style>
  <w:style w:type="paragraph" w:styleId="TOC4">
    <w:name w:val="toc 4"/>
    <w:basedOn w:val="TOC3"/>
    <w:semiHidden/>
    <w:rsid w:val="00D91EDB"/>
    <w:pPr>
      <w:ind w:left="1418" w:hanging="1418"/>
    </w:pPr>
  </w:style>
  <w:style w:type="paragraph" w:styleId="TOC3">
    <w:name w:val="toc 3"/>
    <w:basedOn w:val="TOC2"/>
    <w:semiHidden/>
    <w:rsid w:val="00D91EDB"/>
    <w:pPr>
      <w:ind w:left="1134" w:hanging="1134"/>
    </w:pPr>
  </w:style>
  <w:style w:type="paragraph" w:styleId="TOC2">
    <w:name w:val="toc 2"/>
    <w:basedOn w:val="TOC1"/>
    <w:semiHidden/>
    <w:rsid w:val="00D91EDB"/>
    <w:pPr>
      <w:keepNext w:val="0"/>
      <w:spacing w:before="0"/>
      <w:ind w:left="851" w:hanging="851"/>
    </w:pPr>
    <w:rPr>
      <w:szCs w:val="20"/>
    </w:rPr>
  </w:style>
  <w:style w:type="paragraph" w:styleId="Index2">
    <w:name w:val="index 2"/>
    <w:basedOn w:val="Index1"/>
    <w:semiHidden/>
    <w:rsid w:val="00D91EDB"/>
    <w:pPr>
      <w:ind w:left="284"/>
    </w:pPr>
  </w:style>
  <w:style w:type="paragraph" w:styleId="Index1">
    <w:name w:val="index 1"/>
    <w:basedOn w:val="Normal"/>
    <w:semiHidden/>
    <w:rsid w:val="00D91EDB"/>
    <w:pPr>
      <w:keepLines/>
      <w:spacing w:after="0"/>
    </w:pPr>
  </w:style>
  <w:style w:type="paragraph" w:styleId="DocumentMap">
    <w:name w:val="Document Map"/>
    <w:basedOn w:val="Normal"/>
    <w:semiHidden/>
    <w:rsid w:val="00D91EDB"/>
    <w:pPr>
      <w:shd w:val="clear" w:color="auto" w:fill="000080"/>
    </w:pPr>
    <w:rPr>
      <w:rFonts w:ascii="Tahoma" w:hAnsi="Tahoma" w:cs="Tahoma"/>
    </w:rPr>
  </w:style>
  <w:style w:type="paragraph" w:styleId="ListNumber2">
    <w:name w:val="List Number 2"/>
    <w:basedOn w:val="ListNumber"/>
    <w:rsid w:val="00D91EDB"/>
    <w:pPr>
      <w:ind w:left="851"/>
    </w:pPr>
  </w:style>
  <w:style w:type="paragraph" w:styleId="ListNumber">
    <w:name w:val="List Number"/>
    <w:basedOn w:val="List"/>
    <w:rsid w:val="00D91EDB"/>
  </w:style>
  <w:style w:type="paragraph" w:styleId="List">
    <w:name w:val="List"/>
    <w:basedOn w:val="Normal"/>
    <w:rsid w:val="00D91EDB"/>
    <w:pPr>
      <w:ind w:left="568" w:hanging="284"/>
    </w:pPr>
  </w:style>
  <w:style w:type="paragraph" w:styleId="Header">
    <w:name w:val="header"/>
    <w:rsid w:val="00D91ED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D91EDB"/>
    <w:rPr>
      <w:b/>
      <w:bCs/>
      <w:position w:val="6"/>
      <w:sz w:val="16"/>
      <w:szCs w:val="16"/>
    </w:rPr>
  </w:style>
  <w:style w:type="paragraph" w:styleId="FootnoteText">
    <w:name w:val="footnote text"/>
    <w:basedOn w:val="Normal"/>
    <w:semiHidden/>
    <w:rsid w:val="00D91EDB"/>
    <w:pPr>
      <w:keepLines/>
      <w:spacing w:after="0"/>
      <w:ind w:left="454" w:hanging="454"/>
    </w:pPr>
    <w:rPr>
      <w:sz w:val="16"/>
      <w:szCs w:val="16"/>
    </w:rPr>
  </w:style>
  <w:style w:type="paragraph" w:customStyle="1" w:styleId="3GPPHeader">
    <w:name w:val="3GPP_Header"/>
    <w:basedOn w:val="Normal"/>
    <w:rsid w:val="00D91EDB"/>
    <w:pPr>
      <w:tabs>
        <w:tab w:val="left" w:pos="1701"/>
        <w:tab w:val="right" w:pos="9639"/>
      </w:tabs>
      <w:spacing w:after="240"/>
    </w:pPr>
    <w:rPr>
      <w:b/>
      <w:sz w:val="24"/>
    </w:rPr>
  </w:style>
  <w:style w:type="paragraph" w:styleId="TOC9">
    <w:name w:val="toc 9"/>
    <w:basedOn w:val="TOC8"/>
    <w:semiHidden/>
    <w:rsid w:val="00D91EDB"/>
    <w:pPr>
      <w:ind w:left="1418" w:hanging="1418"/>
    </w:pPr>
  </w:style>
  <w:style w:type="paragraph" w:styleId="TOC6">
    <w:name w:val="toc 6"/>
    <w:basedOn w:val="TOC5"/>
    <w:next w:val="Normal"/>
    <w:semiHidden/>
    <w:rsid w:val="00D91EDB"/>
    <w:pPr>
      <w:ind w:left="1985" w:hanging="1985"/>
    </w:pPr>
  </w:style>
  <w:style w:type="paragraph" w:styleId="TOC7">
    <w:name w:val="toc 7"/>
    <w:basedOn w:val="TOC6"/>
    <w:next w:val="Normal"/>
    <w:semiHidden/>
    <w:rsid w:val="00D91EDB"/>
    <w:pPr>
      <w:ind w:left="2268" w:hanging="2268"/>
    </w:pPr>
  </w:style>
  <w:style w:type="paragraph" w:styleId="ListBullet2">
    <w:name w:val="List Bullet 2"/>
    <w:basedOn w:val="ListBullet"/>
    <w:rsid w:val="00D91EDB"/>
    <w:pPr>
      <w:numPr>
        <w:numId w:val="6"/>
      </w:numPr>
    </w:pPr>
  </w:style>
  <w:style w:type="paragraph" w:styleId="ListBullet">
    <w:name w:val="List Bullet"/>
    <w:basedOn w:val="BodyText"/>
    <w:rsid w:val="00D91EDB"/>
    <w:pPr>
      <w:numPr>
        <w:numId w:val="5"/>
      </w:numPr>
    </w:pPr>
  </w:style>
  <w:style w:type="paragraph" w:styleId="ListBullet3">
    <w:name w:val="List Bullet 3"/>
    <w:basedOn w:val="ListBullet2"/>
    <w:rsid w:val="00D91EDB"/>
    <w:pPr>
      <w:numPr>
        <w:numId w:val="7"/>
      </w:numPr>
    </w:pPr>
  </w:style>
  <w:style w:type="paragraph" w:customStyle="1" w:styleId="EQ">
    <w:name w:val="EQ"/>
    <w:basedOn w:val="Normal"/>
    <w:next w:val="Normal"/>
    <w:rsid w:val="00D91EDB"/>
    <w:pPr>
      <w:keepLines/>
      <w:tabs>
        <w:tab w:val="center" w:pos="4536"/>
        <w:tab w:val="right" w:pos="9072"/>
      </w:tabs>
      <w:spacing w:after="180"/>
      <w:jc w:val="left"/>
    </w:pPr>
    <w:rPr>
      <w:noProof/>
      <w:lang w:eastAsia="en-US"/>
    </w:rPr>
  </w:style>
  <w:style w:type="paragraph" w:styleId="List2">
    <w:name w:val="List 2"/>
    <w:basedOn w:val="List"/>
    <w:rsid w:val="00D91EDB"/>
    <w:pPr>
      <w:ind w:left="851"/>
    </w:pPr>
  </w:style>
  <w:style w:type="paragraph" w:styleId="List3">
    <w:name w:val="List 3"/>
    <w:basedOn w:val="List2"/>
    <w:rsid w:val="00D91EDB"/>
    <w:pPr>
      <w:ind w:left="1135"/>
    </w:pPr>
  </w:style>
  <w:style w:type="paragraph" w:styleId="List4">
    <w:name w:val="List 4"/>
    <w:basedOn w:val="List3"/>
    <w:rsid w:val="00D91EDB"/>
    <w:pPr>
      <w:ind w:left="1418"/>
    </w:pPr>
  </w:style>
  <w:style w:type="paragraph" w:styleId="List5">
    <w:name w:val="List 5"/>
    <w:basedOn w:val="List4"/>
    <w:rsid w:val="00D91EDB"/>
    <w:pPr>
      <w:ind w:left="1702"/>
    </w:pPr>
  </w:style>
  <w:style w:type="paragraph" w:customStyle="1" w:styleId="EditorsNote">
    <w:name w:val="Editor's Note"/>
    <w:basedOn w:val="Normal"/>
    <w:rsid w:val="00D91EDB"/>
    <w:pPr>
      <w:keepLines/>
      <w:spacing w:after="180"/>
      <w:ind w:left="1135" w:hanging="851"/>
      <w:jc w:val="left"/>
    </w:pPr>
    <w:rPr>
      <w:color w:val="FF0000"/>
      <w:lang w:eastAsia="en-US"/>
    </w:rPr>
  </w:style>
  <w:style w:type="paragraph" w:styleId="ListBullet4">
    <w:name w:val="List Bullet 4"/>
    <w:basedOn w:val="ListBullet3"/>
    <w:rsid w:val="00D91EDB"/>
    <w:pPr>
      <w:numPr>
        <w:numId w:val="8"/>
      </w:numPr>
    </w:pPr>
  </w:style>
  <w:style w:type="paragraph" w:styleId="ListBullet5">
    <w:name w:val="List Bullet 5"/>
    <w:basedOn w:val="ListBullet4"/>
    <w:rsid w:val="00D91EDB"/>
    <w:pPr>
      <w:numPr>
        <w:numId w:val="4"/>
      </w:numPr>
    </w:pPr>
  </w:style>
  <w:style w:type="paragraph" w:styleId="Footer">
    <w:name w:val="footer"/>
    <w:basedOn w:val="Header"/>
    <w:semiHidden/>
    <w:rsid w:val="00D91EDB"/>
    <w:pPr>
      <w:jc w:val="center"/>
    </w:pPr>
    <w:rPr>
      <w:i/>
      <w:iCs/>
    </w:rPr>
  </w:style>
  <w:style w:type="paragraph" w:customStyle="1" w:styleId="Reference">
    <w:name w:val="Reference"/>
    <w:basedOn w:val="Normal"/>
    <w:qFormat/>
    <w:rsid w:val="00D91EDB"/>
    <w:pPr>
      <w:numPr>
        <w:numId w:val="2"/>
      </w:numPr>
    </w:pPr>
  </w:style>
  <w:style w:type="paragraph" w:styleId="BalloonText">
    <w:name w:val="Balloon Text"/>
    <w:basedOn w:val="Normal"/>
    <w:semiHidden/>
    <w:rsid w:val="00D91EDB"/>
    <w:rPr>
      <w:rFonts w:ascii="Tahoma" w:hAnsi="Tahoma" w:cs="Tahoma"/>
      <w:sz w:val="16"/>
      <w:szCs w:val="16"/>
    </w:rPr>
  </w:style>
  <w:style w:type="character" w:styleId="PageNumber">
    <w:name w:val="page number"/>
    <w:semiHidden/>
    <w:rsid w:val="00D91EDB"/>
  </w:style>
  <w:style w:type="paragraph" w:styleId="BodyText">
    <w:name w:val="Body Text"/>
    <w:basedOn w:val="Normal"/>
    <w:link w:val="BodyTextChar"/>
    <w:rsid w:val="00D91EDB"/>
  </w:style>
  <w:style w:type="character" w:styleId="Hyperlink">
    <w:name w:val="Hyperlink"/>
    <w:uiPriority w:val="99"/>
    <w:rsid w:val="00D91EDB"/>
    <w:rPr>
      <w:color w:val="0000FF"/>
      <w:u w:val="single"/>
      <w:lang w:val="en-GB"/>
    </w:rPr>
  </w:style>
  <w:style w:type="character" w:styleId="FollowedHyperlink">
    <w:name w:val="FollowedHyperlink"/>
    <w:semiHidden/>
    <w:rsid w:val="00D91EDB"/>
    <w:rPr>
      <w:color w:val="FF0000"/>
      <w:u w:val="single"/>
    </w:rPr>
  </w:style>
  <w:style w:type="character" w:styleId="CommentReference">
    <w:name w:val="annotation reference"/>
    <w:rsid w:val="00D91EDB"/>
    <w:rPr>
      <w:sz w:val="16"/>
      <w:szCs w:val="16"/>
    </w:rPr>
  </w:style>
  <w:style w:type="paragraph" w:styleId="CommentText">
    <w:name w:val="annotation text"/>
    <w:basedOn w:val="Normal"/>
    <w:link w:val="CommentTextChar"/>
    <w:rsid w:val="00D91EDB"/>
  </w:style>
  <w:style w:type="paragraph" w:styleId="CommentSubject">
    <w:name w:val="annotation subject"/>
    <w:basedOn w:val="CommentText"/>
    <w:next w:val="CommentText"/>
    <w:semiHidden/>
    <w:rsid w:val="00D91EDB"/>
    <w:rPr>
      <w:b/>
      <w:bCs/>
    </w:rPr>
  </w:style>
  <w:style w:type="character" w:customStyle="1" w:styleId="Heading1Char">
    <w:name w:val="Heading 1 Char"/>
    <w:link w:val="Heading1"/>
    <w:rsid w:val="00D91EDB"/>
    <w:rPr>
      <w:rFonts w:ascii="Arial" w:hAnsi="Arial" w:cs="Arial"/>
      <w:sz w:val="36"/>
      <w:szCs w:val="36"/>
      <w:lang w:val="en-GB"/>
    </w:rPr>
  </w:style>
  <w:style w:type="paragraph" w:customStyle="1" w:styleId="B1">
    <w:name w:val="B1"/>
    <w:basedOn w:val="List"/>
    <w:qFormat/>
    <w:rsid w:val="00D91EDB"/>
    <w:pPr>
      <w:spacing w:after="180"/>
      <w:jc w:val="left"/>
    </w:pPr>
    <w:rPr>
      <w:lang w:eastAsia="en-US"/>
    </w:rPr>
  </w:style>
  <w:style w:type="paragraph" w:customStyle="1" w:styleId="B2">
    <w:name w:val="B2"/>
    <w:basedOn w:val="List2"/>
    <w:qFormat/>
    <w:rsid w:val="00D91EDB"/>
    <w:pPr>
      <w:spacing w:after="180"/>
      <w:jc w:val="left"/>
    </w:pPr>
    <w:rPr>
      <w:lang w:eastAsia="en-US"/>
    </w:rPr>
  </w:style>
  <w:style w:type="paragraph" w:customStyle="1" w:styleId="B3">
    <w:name w:val="B3"/>
    <w:basedOn w:val="List3"/>
    <w:qFormat/>
    <w:rsid w:val="00D91EDB"/>
    <w:pPr>
      <w:spacing w:after="180"/>
      <w:jc w:val="left"/>
    </w:pPr>
    <w:rPr>
      <w:lang w:eastAsia="en-US"/>
    </w:rPr>
  </w:style>
  <w:style w:type="paragraph" w:customStyle="1" w:styleId="B4">
    <w:name w:val="B4"/>
    <w:basedOn w:val="List4"/>
    <w:qFormat/>
    <w:rsid w:val="00D91EDB"/>
    <w:pPr>
      <w:spacing w:after="180"/>
      <w:jc w:val="left"/>
    </w:pPr>
    <w:rPr>
      <w:lang w:eastAsia="en-US"/>
    </w:rPr>
  </w:style>
  <w:style w:type="paragraph" w:customStyle="1" w:styleId="Proposal">
    <w:name w:val="Proposal"/>
    <w:basedOn w:val="Normal"/>
    <w:qFormat/>
    <w:rsid w:val="00D91EDB"/>
    <w:pPr>
      <w:numPr>
        <w:numId w:val="3"/>
      </w:numPr>
      <w:tabs>
        <w:tab w:val="clear" w:pos="1304"/>
        <w:tab w:val="left" w:pos="1701"/>
      </w:tabs>
      <w:ind w:left="1701" w:hanging="1701"/>
    </w:pPr>
    <w:rPr>
      <w:b/>
      <w:bCs/>
    </w:rPr>
  </w:style>
  <w:style w:type="character" w:customStyle="1" w:styleId="BodyTextChar">
    <w:name w:val="Body Text Char"/>
    <w:link w:val="BodyText"/>
    <w:rsid w:val="00D91EDB"/>
    <w:rPr>
      <w:rFonts w:ascii="Arial" w:hAnsi="Arial"/>
      <w:lang w:val="en-GB"/>
    </w:rPr>
  </w:style>
  <w:style w:type="paragraph" w:customStyle="1" w:styleId="B5">
    <w:name w:val="B5"/>
    <w:basedOn w:val="List5"/>
    <w:rsid w:val="00D91EDB"/>
    <w:pPr>
      <w:spacing w:after="180"/>
      <w:jc w:val="left"/>
    </w:pPr>
    <w:rPr>
      <w:lang w:eastAsia="en-US"/>
    </w:rPr>
  </w:style>
  <w:style w:type="paragraph" w:customStyle="1" w:styleId="EX">
    <w:name w:val="EX"/>
    <w:basedOn w:val="Normal"/>
    <w:rsid w:val="00D91EDB"/>
    <w:pPr>
      <w:keepLines/>
      <w:spacing w:after="180"/>
      <w:ind w:left="1702" w:hanging="1418"/>
      <w:jc w:val="left"/>
    </w:pPr>
    <w:rPr>
      <w:lang w:eastAsia="en-US"/>
    </w:rPr>
  </w:style>
  <w:style w:type="paragraph" w:customStyle="1" w:styleId="EW">
    <w:name w:val="EW"/>
    <w:basedOn w:val="EX"/>
    <w:rsid w:val="00D91EDB"/>
    <w:pPr>
      <w:spacing w:after="0"/>
    </w:pPr>
  </w:style>
  <w:style w:type="paragraph" w:customStyle="1" w:styleId="TAL">
    <w:name w:val="TAL"/>
    <w:basedOn w:val="Normal"/>
    <w:rsid w:val="00D91EDB"/>
    <w:pPr>
      <w:keepNext/>
      <w:keepLines/>
      <w:spacing w:after="0"/>
      <w:jc w:val="left"/>
    </w:pPr>
    <w:rPr>
      <w:sz w:val="18"/>
      <w:lang w:eastAsia="en-US"/>
    </w:rPr>
  </w:style>
  <w:style w:type="paragraph" w:customStyle="1" w:styleId="TAC">
    <w:name w:val="TAC"/>
    <w:basedOn w:val="TAL"/>
    <w:rsid w:val="00D91EDB"/>
    <w:pPr>
      <w:jc w:val="center"/>
    </w:pPr>
  </w:style>
  <w:style w:type="paragraph" w:customStyle="1" w:styleId="TAH">
    <w:name w:val="TAH"/>
    <w:basedOn w:val="TAC"/>
    <w:rsid w:val="00D91EDB"/>
    <w:rPr>
      <w:b/>
    </w:rPr>
  </w:style>
  <w:style w:type="paragraph" w:customStyle="1" w:styleId="TAN">
    <w:name w:val="TAN"/>
    <w:basedOn w:val="TAL"/>
    <w:rsid w:val="00D91EDB"/>
    <w:pPr>
      <w:ind w:left="851" w:hanging="851"/>
    </w:pPr>
  </w:style>
  <w:style w:type="paragraph" w:customStyle="1" w:styleId="TAR">
    <w:name w:val="TAR"/>
    <w:basedOn w:val="TAL"/>
    <w:rsid w:val="00D91EDB"/>
    <w:pPr>
      <w:jc w:val="right"/>
    </w:pPr>
  </w:style>
  <w:style w:type="paragraph" w:customStyle="1" w:styleId="TH">
    <w:name w:val="TH"/>
    <w:basedOn w:val="Normal"/>
    <w:rsid w:val="00D91EDB"/>
    <w:pPr>
      <w:keepNext/>
      <w:keepLines/>
      <w:spacing w:before="60" w:after="180"/>
      <w:jc w:val="center"/>
    </w:pPr>
    <w:rPr>
      <w:b/>
      <w:lang w:eastAsia="en-US"/>
    </w:rPr>
  </w:style>
  <w:style w:type="paragraph" w:customStyle="1" w:styleId="TF">
    <w:name w:val="TF"/>
    <w:basedOn w:val="TH"/>
    <w:rsid w:val="00D91EDB"/>
    <w:pPr>
      <w:keepNext w:val="0"/>
      <w:spacing w:before="0" w:after="240"/>
    </w:pPr>
  </w:style>
  <w:style w:type="paragraph" w:customStyle="1" w:styleId="TT">
    <w:name w:val="TT"/>
    <w:basedOn w:val="Heading1"/>
    <w:next w:val="Normal"/>
    <w:rsid w:val="00D91EDB"/>
    <w:pPr>
      <w:numPr>
        <w:numId w:val="0"/>
      </w:numPr>
      <w:ind w:left="1134" w:hanging="1134"/>
      <w:outlineLvl w:val="9"/>
    </w:pPr>
    <w:rPr>
      <w:rFonts w:cs="Times New Roman"/>
      <w:szCs w:val="20"/>
      <w:lang w:eastAsia="en-US"/>
    </w:rPr>
  </w:style>
  <w:style w:type="paragraph" w:customStyle="1" w:styleId="ZA">
    <w:name w:val="ZA"/>
    <w:rsid w:val="00D91E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91E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91ED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D91ED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D91EDB"/>
  </w:style>
  <w:style w:type="paragraph" w:customStyle="1" w:styleId="ZH">
    <w:name w:val="ZH"/>
    <w:rsid w:val="00D91ED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D91E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91EDB"/>
    <w:pPr>
      <w:framePr w:hRule="auto" w:wrap="notBeside" w:y="852"/>
    </w:pPr>
    <w:rPr>
      <w:i w:val="0"/>
      <w:sz w:val="40"/>
    </w:rPr>
  </w:style>
  <w:style w:type="paragraph" w:customStyle="1" w:styleId="ZU">
    <w:name w:val="ZU"/>
    <w:rsid w:val="00D91E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91EDB"/>
    <w:pPr>
      <w:framePr w:wrap="notBeside" w:y="16161"/>
    </w:pPr>
  </w:style>
  <w:style w:type="paragraph" w:customStyle="1" w:styleId="FP">
    <w:name w:val="FP"/>
    <w:basedOn w:val="Normal"/>
    <w:rsid w:val="00D91EDB"/>
    <w:pPr>
      <w:spacing w:after="0"/>
      <w:jc w:val="left"/>
    </w:pPr>
    <w:rPr>
      <w:lang w:eastAsia="en-US"/>
    </w:rPr>
  </w:style>
  <w:style w:type="paragraph" w:customStyle="1" w:styleId="Observation">
    <w:name w:val="Observation"/>
    <w:basedOn w:val="Proposal"/>
    <w:qFormat/>
    <w:rsid w:val="00D91EDB"/>
    <w:pPr>
      <w:numPr>
        <w:numId w:val="13"/>
      </w:numPr>
      <w:ind w:left="1701" w:hanging="1701"/>
    </w:pPr>
  </w:style>
  <w:style w:type="paragraph" w:styleId="TableofFigures">
    <w:name w:val="table of figures"/>
    <w:basedOn w:val="Normal"/>
    <w:next w:val="Normal"/>
    <w:uiPriority w:val="99"/>
    <w:rsid w:val="00D91EDB"/>
    <w:pPr>
      <w:ind w:left="1418" w:hanging="1418"/>
      <w:jc w:val="left"/>
    </w:pPr>
    <w:rPr>
      <w:b/>
    </w:rPr>
  </w:style>
  <w:style w:type="paragraph" w:customStyle="1" w:styleId="CRCoverPage">
    <w:name w:val="CR Cover Page"/>
    <w:rsid w:val="00D91EDB"/>
    <w:pPr>
      <w:spacing w:after="120"/>
    </w:pPr>
    <w:rPr>
      <w:rFonts w:ascii="Arial" w:hAnsi="Arial"/>
      <w:lang w:val="en-GB" w:eastAsia="en-US"/>
    </w:rPr>
  </w:style>
  <w:style w:type="paragraph" w:customStyle="1" w:styleId="Doc-text2">
    <w:name w:val="Doc-text2"/>
    <w:basedOn w:val="Normal"/>
    <w:link w:val="Doc-text2Char"/>
    <w:qFormat/>
    <w:rsid w:val="008267D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267DF"/>
    <w:rPr>
      <w:rFonts w:ascii="Arial" w:eastAsia="MS Mincho" w:hAnsi="Arial"/>
      <w:szCs w:val="24"/>
      <w:lang w:val="en-GB" w:eastAsia="en-GB"/>
    </w:rPr>
  </w:style>
  <w:style w:type="paragraph" w:customStyle="1" w:styleId="PL">
    <w:name w:val="PL"/>
    <w:link w:val="PLChar"/>
    <w:rsid w:val="00461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noProof/>
      <w:sz w:val="16"/>
      <w:lang w:eastAsia="sv-SE"/>
    </w:rPr>
  </w:style>
  <w:style w:type="character" w:customStyle="1" w:styleId="PLChar">
    <w:name w:val="PL Char"/>
    <w:link w:val="PL"/>
    <w:rsid w:val="00461D06"/>
    <w:rPr>
      <w:rFonts w:ascii="Courier New" w:eastAsia="Times New Roman" w:hAnsi="Courier New"/>
      <w:noProof/>
      <w:sz w:val="16"/>
      <w:shd w:val="clear" w:color="auto" w:fill="E6E6E6"/>
      <w:lang w:eastAsia="sv-SE"/>
    </w:rPr>
  </w:style>
  <w:style w:type="character" w:customStyle="1" w:styleId="CommentTextChar">
    <w:name w:val="Comment Text Char"/>
    <w:link w:val="CommentText"/>
    <w:qFormat/>
    <w:rsid w:val="00461D06"/>
    <w:rPr>
      <w:rFonts w:ascii="Arial" w:hAnsi="Arial"/>
      <w:lang w:val="en-GB"/>
    </w:rPr>
  </w:style>
  <w:style w:type="paragraph" w:styleId="NormalWeb">
    <w:name w:val="Normal (Web)"/>
    <w:basedOn w:val="Normal"/>
    <w:uiPriority w:val="99"/>
    <w:semiHidden/>
    <w:unhideWhenUsed/>
    <w:rsid w:val="00601E47"/>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8452482">
      <w:bodyDiv w:val="1"/>
      <w:marLeft w:val="0"/>
      <w:marRight w:val="0"/>
      <w:marTop w:val="0"/>
      <w:marBottom w:val="0"/>
      <w:divBdr>
        <w:top w:val="none" w:sz="0" w:space="0" w:color="auto"/>
        <w:left w:val="none" w:sz="0" w:space="0" w:color="auto"/>
        <w:bottom w:val="none" w:sz="0" w:space="0" w:color="auto"/>
        <w:right w:val="none" w:sz="0" w:space="0" w:color="auto"/>
      </w:divBdr>
    </w:div>
    <w:div w:id="1070153178">
      <w:bodyDiv w:val="1"/>
      <w:marLeft w:val="0"/>
      <w:marRight w:val="0"/>
      <w:marTop w:val="0"/>
      <w:marBottom w:val="0"/>
      <w:divBdr>
        <w:top w:val="none" w:sz="0" w:space="0" w:color="auto"/>
        <w:left w:val="none" w:sz="0" w:space="0" w:color="auto"/>
        <w:bottom w:val="none" w:sz="0" w:space="0" w:color="auto"/>
        <w:right w:val="none" w:sz="0" w:space="0" w:color="auto"/>
      </w:divBdr>
    </w:div>
    <w:div w:id="1469082049">
      <w:bodyDiv w:val="1"/>
      <w:marLeft w:val="0"/>
      <w:marRight w:val="0"/>
      <w:marTop w:val="0"/>
      <w:marBottom w:val="0"/>
      <w:divBdr>
        <w:top w:val="none" w:sz="0" w:space="0" w:color="auto"/>
        <w:left w:val="none" w:sz="0" w:space="0" w:color="auto"/>
        <w:bottom w:val="none" w:sz="0" w:space="0" w:color="auto"/>
        <w:right w:val="none" w:sz="0" w:space="0" w:color="auto"/>
      </w:divBdr>
    </w:div>
    <w:div w:id="1947075336">
      <w:bodyDiv w:val="1"/>
      <w:marLeft w:val="0"/>
      <w:marRight w:val="0"/>
      <w:marTop w:val="0"/>
      <w:marBottom w:val="0"/>
      <w:divBdr>
        <w:top w:val="none" w:sz="0" w:space="0" w:color="auto"/>
        <w:left w:val="none" w:sz="0" w:space="0" w:color="auto"/>
        <w:bottom w:val="none" w:sz="0" w:space="0" w:color="auto"/>
        <w:right w:val="none" w:sz="0" w:space="0" w:color="auto"/>
      </w:divBdr>
    </w:div>
    <w:div w:id="209728793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uifan\Documents\Project\STAR\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5NUHHDQN7SK2-1-185166</_dlc_DocId>
    <TaxCatchAll xmlns="08b2df90-05d3-4030-90d4-c9feeb4a1cd9">
      <Value>10</Value>
      <Value>9</Value>
      <Value>8</Value>
      <Value>2</Value>
      <Value>1</Value>
    </TaxCatchAll>
    <_dlc_DocIdUrl xmlns="08b2df90-05d3-4030-90d4-c9feeb4a1cd9">
      <Url>https://ericoll.internal.ericsson.com/sites/star/_layouts/DocIdRedir.aspx?ID=5NUHHDQN7SK2-1-185166</Url>
      <Description>5NUHHDQN7SK2-1-185166</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1A8CC-F1C6-4D96-B9E3-7A50F0BDE4B6}">
  <ds:schemaRefs>
    <ds:schemaRef ds:uri="Microsoft.SharePoint.Taxonomy.ContentTypeSync"/>
  </ds:schemaRefs>
</ds:datastoreItem>
</file>

<file path=customXml/itemProps2.xml><?xml version="1.0" encoding="utf-8"?>
<ds:datastoreItem xmlns:ds="http://schemas.openxmlformats.org/officeDocument/2006/customXml" ds:itemID="{036E2FF2-D444-4B20-9AAC-68F8B62CAE9F}">
  <ds:schemaRefs>
    <ds:schemaRef ds:uri="http://schemas.microsoft.com/sharepoint/events"/>
  </ds:schemaRefs>
</ds:datastoreItem>
</file>

<file path=customXml/itemProps3.xml><?xml version="1.0" encoding="utf-8"?>
<ds:datastoreItem xmlns:ds="http://schemas.openxmlformats.org/officeDocument/2006/customXml" ds:itemID="{33A5F6B8-6267-48B0-9332-A14C383A5266}">
  <ds:schemaRefs>
    <ds:schemaRef ds:uri="http://schemas.microsoft.com/sharepoint/v3/contenttype/forms"/>
  </ds:schemaRefs>
</ds:datastoreItem>
</file>

<file path=customXml/itemProps4.xml><?xml version="1.0" encoding="utf-8"?>
<ds:datastoreItem xmlns:ds="http://schemas.openxmlformats.org/officeDocument/2006/customXml" ds:itemID="{34F6C03E-EF6A-4605-BDB2-AA4FAA122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58854C-5A94-4A8E-8AB4-AE40AC593D20}">
  <ds:schemaRef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sharepoint/v4"/>
    <ds:schemaRef ds:uri="7789c8df-cd92-43c1-8a83-195dbc0f0a0a"/>
    <ds:schemaRef ds:uri="http://purl.org/dc/dcmitype/"/>
    <ds:schemaRef ds:uri="http://schemas.microsoft.com/office/2006/metadata/properties"/>
    <ds:schemaRef ds:uri="08b2df90-05d3-4030-90d4-c9feeb4a1cd9"/>
    <ds:schemaRef ds:uri="http://www.w3.org/XML/1998/namespace"/>
    <ds:schemaRef ds:uri="http://purl.org/dc/terms/"/>
  </ds:schemaRefs>
</ds:datastoreItem>
</file>

<file path=customXml/itemProps6.xml><?xml version="1.0" encoding="utf-8"?>
<ds:datastoreItem xmlns:ds="http://schemas.openxmlformats.org/officeDocument/2006/customXml" ds:itemID="{24EDE1EC-D496-4B1F-95EF-B0A3590DD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0</TotalTime>
  <Pages>3</Pages>
  <Words>1012</Words>
  <Characters>5775</Characters>
  <Application>Microsoft Office Word</Application>
  <DocSecurity>4</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Fan Rui</dc:creator>
  <cp:keywords>3GPP; Ericsson; TDoc</cp:keywords>
  <cp:lastModifiedBy>Ericsson merge</cp:lastModifiedBy>
  <cp:revision>2</cp:revision>
  <cp:lastPrinted>2008-01-31T06:09:00Z</cp:lastPrinted>
  <dcterms:created xsi:type="dcterms:W3CDTF">2017-11-23T21:59:00Z</dcterms:created>
  <dcterms:modified xsi:type="dcterms:W3CDTF">2017-11-23T21:59:00Z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8506b6cc-8739-4a54-8ded-aa31ce6bb6b4</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